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106 vom 25. Januar 2018</w:t>
      </w:r>
    </w:p>
    <w:p>
      <w:r>
        <w:t>VD Tribunal cantonal, 2018-01-25, FR</w:t>
      </w:r>
    </w:p>
    <w:p>
      <w:r>
        <w:rPr>
          <w:b/>
        </w:rPr>
        <w:t xml:space="preserve">Quelle: </w:t>
      </w:r>
      <w:r>
        <w:t>https://mcp.opencaselaw.ch/entscheid/vd_findinfo_HC___2018___106</w:t>
      </w:r>
    </w:p>
    <w:p>
      <w:r>
        <w:t>FR: VD_FINDINFO HC / 2018 / 106 du 25 janvier 2018</w:t>
      </w:r>
    </w:p>
    <w:p>
      <w:r>
        <w:t>IT: VD_FINDINFO HC / 2018 / 106 del 25 gennaio 2018</w:t>
      </w:r>
    </w:p>
    <w:p>
      <w:pPr>
        <w:pStyle w:val="Heading2"/>
      </w:pPr>
      <w:r>
        <w:t>Regeste</w:t>
      </w:r>
    </w:p>
    <w:p>
      <w:r>
        <w:t>AMENDE, DÉFAUT{CONTUMACE} | 128 al. 1 CPC (CH), 322 al. 1 CPC (CH)</w:t>
      </w:r>
    </w:p>
    <w:p>
      <w:pPr>
        <w:pStyle w:val="Heading2"/>
      </w:pPr>
      <w:r>
        <w:t>Erwägungen</w:t>
      </w:r>
    </w:p>
    <w:p>
      <w:r>
        <w:rPr>
          <w:b/>
        </w:rPr>
        <w:t>E. 1</w:t>
      </w:r>
    </w:p>
    <w:p>
      <w:r>
        <w:t>CPC). En l'espèce, interjeté en temps utile – le délai de recours de 30 jours ayant commencé à courir à l’échéance du délai de garde le 29 novembre 2017 au plus tôt – par une partie qui y a un intérêt digne de protection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Il, 2 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Berne 2009, n. 19 ad art. 97 LTF, p. 941).</w:t>
      </w:r>
    </w:p>
    <w:p>
      <w:r>
        <w:rPr>
          <w:b/>
        </w:rPr>
        <w:t>E. 3.1</w:t>
      </w:r>
    </w:p>
    <w:p>
      <w:r>
        <w:t>Le recourant expose qu'il n'aurait pas perturbé le bon déroulement de la procédure en ne se présentant pas à l'audience de conciliation. Par conséquent, selon lui, la sanction serait injustifiée. Par ailleurs, son droit d'être entendu aurait été violé car l'autorité n'exposerait pas les motifs de fixer le montant de l’amende à 500 francs.</w:t>
      </w:r>
    </w:p>
    <w:p>
      <w:r>
        <w:rPr>
          <w:b/>
        </w:rPr>
        <w:t>E. 3.2</w:t>
      </w:r>
    </w:p>
    <w:p>
      <w:r>
        <w:t>L'art. 128 CPC dispose que quiconque, au cours de la procédure devant le tribunal, enfreint les convenances ou perturbe le déroulement de la procédure est puni d'un blâme ou d'une amende disciplinaire de 1'000 fr. au plus (al. 1). La partie ou son représentant qui usent de mauvaise foi ou de procédés téméraires sont punis d'une amende disciplinaire de 2'000 fr. au plus ; l'amende est de 5'000 fr. au plus en cas de récidive (al. 3). En application des principes de la proportionnalité (art. 5 al. 2 Cst.) et de la bonne foi (art.</w:t>
      </w:r>
    </w:p>
    <w:p>
      <w:r>
        <w:rPr>
          <w:b/>
        </w:rPr>
        <w:t>E. 3.3</w:t>
      </w:r>
    </w:p>
    <w:p>
      <w:r>
        <w:t>En l'espèce, la vice-présidente a infligé au recourant une amende disciplinaire de 500 fr. en application de l'art. 128 CPC, en précisant que la citation à comparaître mentionnait expressément que celui qui faisait défaut à l'audience de conciliation, bien qu'il ait été régulièrement cité, pouvait être puni d'une amende disciplinaire au sens de l'art. 128 CPC. Par ailleurs, le premier juge a relevé que le recourant n'avait formé aucune demande de dispense, ni averti le tribunal de son absence. Ce qui précède ne peut qu'amener à un rejet du recours, ce d'autant plus que la quotité de l'amende est proportionnée au regard des circonstances d'espèce et de la jurisprudence. La jurisprudence exposée ci-dessus démontre au demeurant que, contrairement à ce qu’indique le recourant, il n’était pas nécessaire de retenir que la non comparution avait perturbé le déroulement de la procédure pour prononcer une amende disciplinaire, dès lors que la mauvaise foi suffisait à sanctionner le défaut. Enfin, on ne discerne aucune violation du droit d'être entendu du recourant, le premier juge ayant exposé — certes brièvement mais de manière suffisante — les circonstances l'ayant amené à retenir le montant de 500 fr., ce qui a d'ailleurs permis au recourant de faire valoir ses moyens en deuxième instance. 4. En définitive, le recours, manifestement infondé, doit être rejeté selon le mode procédural de l’art. 322 al. 1 CPC, et la décision entreprise doit être confirmée. Les frais judiciaires de deuxième instance, arrêtés à 150 fr. (art. 7 al. 1, 69 al. 2 par analogie et 76 al. 5 TFJC [tarif des frais judiciaires en matière civile du 28 septembre 2010 ; RSV 270.11.5]), sont mis à la charge du recourant, qui succombe (art. 106 al. 1 CPC). Il n’y a pas lieu à l’allocation de dépens, l’intimée n’ayant pas été invitée à se déterminer. Par ces motifs, la Chambre des recours civile du Tribunal cantonal, en application de l'art. 322 al. 1 CPC, prononce : I. Le recours est rejeté. II. La décision est confirmée. III. Les frais judiciaires de deuxième instance, arrêtés à 150 fr. (cent cinquante francs), sont mis à la charge du recourant N.________. IV. L’arrêt est exécutoire. Le président : Le greffier : Du L'arrêt qui précède, dont la rédaction a été approuvée à huis clos, est notifié à : ‑ M. Christophe Savoy, agent d’affaires breveté (pour N.________), ‑ Mme C.________.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de prud’hommes de l’arrondissement de La Broye et du Nord vaudois. Le greffier :</w:t>
      </w:r>
    </w:p>
    <w:p>
      <w:r>
        <w:rPr>
          <w:b/>
        </w:rPr>
        <w:t>E. 5</w:t>
      </w:r>
    </w:p>
    <w:p>
      <w:r>
        <w:t>al. 3 Cst. et art. 52 CPC), ainsi que pour respecter le droit d'être entendu (Bohnet, CPC annoté, Bâle 2016, n. 2 ad art. 128 CPC) de la personne visée par une mesure disciplinaire (art. 29 al. 2 Cst.), cette dernière doit être rendue attentive à la menace qui pèse sur elle avant qu'une telle mesure ne soit prononcée à son encontre (ATF 141 III 265 consid. 5.2 ; TF 4A_502/2014 du 9 juillet 2015 ; TF 4A_664/2014 du 10 juillet 2015). Dans l'ATF 141 III 265, le Tribunal fédéral a admis que les mesures disciplinaires prévues par l'art. 128 CPC peuvent être prononcées par l'autorité de conciliation en cas de défaut de comparution à l'audience de conciliation (consid. 4.3). Il ne considère pas d'emblée exclu que l'autorité de conciliation sanctionne une partie qui ne se présente pas à l'audience de conciliation sans motif et qui ne fait ainsi pas seulement défaut, mais en même temps viole son devoir de comparution personnelle découlant de l'art. 204 al. 1 CPC (consid. 5.1). Si cet arrêt se rapporte ainsi au motif du défaut, et non à un motif justifié, il précise cependant également à son considérant 5.1 qu'une sanction disciplinaire fondée sur l'art. 128 CPC suppose que la non comparution à l'audience de conciliation entraîne une perturbation du déroulement de la procédure selon l'art. 128 al. 1 CPC, respectivement constitue un comportement de mauvaise foi ou un procédé téméraire selon l'art. 128 al. 3 CPC, avant de laisser indécise la question de la réalisation de ces conditions dans la cause examinée. Il s'ensuit qu'il suffit en principe que l'une des conditions précitées de l'art. 128 al. 1 ou 3 CPC soit réalisée pour qu'une sanction disciplinaire entre en ligne de compte, le motif ayant conduit au défaut n'étant pas déterminant au stade du principe de la sanction à prononcer en application de la disposition précitée, mais pouvant le cas échéant être pris en considération au stade de la quotité de la sanction prononcée (CREC 17 juin 2016/219). Dans deux arrêts rendus récemment (TF 4A_124/2016 et TF 4A_126/2016 du 17 mars 2016), le montant des amendes fixées par des commissions de conciliation en matière de baux a été réduit par les autorités cantonales de 1'000 fr. à 500 francs. La Chambre de céans a en outre été amenée à réduire une amende de 800 fr. à 300 fr. dès lors que la non comparution avait été annoncée la veille (CREC 21 décembre 2016/510 consid. 3.2 ; CREC 17 juin 2016/219).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