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999 vom 21. September 2017</w:t>
      </w:r>
    </w:p>
    <w:p>
      <w:r>
        <w:t>VD Tribunal cantonal, 2017-09-21, FR</w:t>
      </w:r>
    </w:p>
    <w:p>
      <w:r>
        <w:rPr>
          <w:b/>
        </w:rPr>
        <w:t xml:space="preserve">Quelle: </w:t>
      </w:r>
      <w:r>
        <w:t>https://mcp.opencaselaw.ch/entscheid/vd_findinfo_HC___2017___999</w:t>
      </w:r>
    </w:p>
    <w:p>
      <w:r>
        <w:t>FR: VD_FINDINFO HC / 2017 / 999 du 21 septembre 2017</w:t>
      </w:r>
    </w:p>
    <w:p>
      <w:r>
        <w:t>IT: VD_FINDINFO HC / 2017 / 999 del 21 settembre 2017</w:t>
      </w:r>
    </w:p>
    <w:p>
      <w:pPr>
        <w:pStyle w:val="Heading2"/>
      </w:pPr>
      <w:r>
        <w:t>Regeste</w:t>
      </w:r>
    </w:p>
    <w:p>
      <w:r>
        <w:t>STIPULATION POUR AUTRUI | 112 CO</w:t>
      </w:r>
    </w:p>
    <w:p>
      <w:pPr>
        <w:pStyle w:val="Heading2"/>
      </w:pPr>
      <w:r>
        <w:t>Erwägungen</w:t>
      </w:r>
    </w:p>
    <w:p>
      <w:r>
        <w:rPr>
          <w:b/>
        </w:rPr>
        <w:t>E. 1.1</w:t>
      </w:r>
    </w:p>
    <w:p>
      <w:r>
        <w:t>Le recours est recevable contre les décisions finales de première instance qui ne peuvent faire l’objet d’un appel (art. 319 let. a CPC). Il en va ainsi, notamment, dans les affaires patrimoniales, lorsque la valeur litigieuse au dernier état des conclusions est inférieure à 10'000 fr. (art. 308 al. 2 CPC), ce qui est le cas en l’espèce. La voie du recours est ainsi ouverte.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w:t>
      </w:r>
    </w:p>
    <w:p>
      <w:r>
        <w:rPr>
          <w:b/>
        </w:rPr>
        <w:t>E. 1.2</w:t>
      </w:r>
    </w:p>
    <w:p>
      <w:r>
        <w:t>En l’espèce, interjeté en temps utile par une partie qui a un intérêt digne de protection (art. 59 al. 2 let. a CPC) et dûment motivé,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2011, nn. 5 et 6 ad art. 320 CPC ; Corboz, Commentaire de la LTF, 2 e éd., 2014, n. 27 ad art. 97 LTF).</w:t>
      </w:r>
    </w:p>
    <w:p>
      <w:r>
        <w:rPr>
          <w:b/>
        </w:rPr>
        <w:t>E. 3.1</w:t>
      </w:r>
    </w:p>
    <w:p>
      <w:r>
        <w:t>D.________ (ci-après : le recourant) invoque d'abord une constatation manifestement inexacte des faits établissant que la transaction litigieuse constitue une stipulation pour autrui parfaite. Il invoque à l'appui de son grief plusieurs pièces du dossier. En particulier. Il prétend que le premier juge n’aurait pas tenu compte du mot « direct » ou « direkt » contenu dans plusieurs d'entre elles.</w:t>
      </w:r>
    </w:p>
    <w:p>
      <w:r>
        <w:rPr>
          <w:b/>
        </w:rPr>
        <w:t>E. 3.2</w:t>
      </w:r>
    </w:p>
    <w:p>
      <w:r>
        <w:t>L.S.________ (ci-après : l’intimé) soutient que le premier juge aurait pris en considération les mots « directement » et « en direct » contenus dans les pièces et aurait considéré qu’ils ne tendaient pas à prouver l’existence d’un engagement de l’intimé envers le recourant.</w:t>
      </w:r>
    </w:p>
    <w:p>
      <w:r>
        <w:rPr>
          <w:b/>
        </w:rPr>
        <w:t>E. 3.3</w:t>
      </w:r>
    </w:p>
    <w:p>
      <w:r>
        <w:t>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lorsqu’en se fondant sur les éléments recueillis, elle en tire des constatations insoutenables (ATF 140 III 264 consid. 2.3 ; ATF 137 III 226 consid. 4.2).</w:t>
      </w:r>
    </w:p>
    <w:p>
      <w:r>
        <w:rPr>
          <w:b/>
        </w:rPr>
        <w:t>E. 3.4</w:t>
      </w:r>
    </w:p>
    <w:p>
      <w:r>
        <w:t>En l’espèce, le grief du recourant n'a pas trait à l'établissement des faits à proprement parler, mais bien à l'interprétation juridique qu'il faut donner au contenu de certains documents, de sorte que ce grief se confond en réalité avec celui développé au sujet de la stipulation pour autrui ou de la reprise de dette (cf. infra consid. 4.1).</w:t>
      </w:r>
    </w:p>
    <w:p>
      <w:r>
        <w:rPr>
          <w:b/>
        </w:rPr>
        <w:t>E. 4.1</w:t>
      </w:r>
    </w:p>
    <w:p>
      <w:r>
        <w:t>Le recourant soutient que l'intimé s'est engagé à lui régler directement les honoraires dus par l'ex-épouse de celui-ci dans la procédure de divorce. Il se fonde sur l'avenant à la convention de divorce des 3 et 6 juillet 2015 signé par les époux L.S.________ et B.S.________ ainsi que sur divers messages postérieurs à ladite convention. Cette stipulation pour autrui parfaite lui permettrait d'agir directement contre l’intimé pour obtenir le paiement de ses honoraires.</w:t>
      </w:r>
    </w:p>
    <w:p>
      <w:r>
        <w:rPr>
          <w:b/>
        </w:rPr>
        <w:t>E. 4.2</w:t>
      </w:r>
    </w:p>
    <w:p>
      <w:r>
        <w:t>L'intimé conteste avoir pris un quelconque engagement de régler directement les honoraires de l'avocat de son ex-épouse et fait valoir, comme l'a retenu le premier juge, que l'accord conclu dans la procédure de divorce constituerait tout au plus une reprise de dette interne, dont le recourant ne pourrait pas se prévaloir. Il invoque en outre le fait que le Tribunal civil de Bâle Ville n'a pas ratifié la clause dont se prévaut le recourant.</w:t>
      </w:r>
    </w:p>
    <w:p>
      <w:r>
        <w:rPr>
          <w:b/>
        </w:rPr>
        <w:t>E. 4.3</w:t>
      </w:r>
    </w:p>
    <w:p>
      <w:r>
        <w:t>Aux termes de l'art. 112 CO (Code des obligations du 30 mars 1911 ; RS 220),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 e éd., 2012, n. 1046 p. 235 ; Tevini/Du Pasquier, Commentaire romand – Code des Obligations I, 2 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Ill 60 consid. 5.2 ; Engel, Traité des obligations en droit suisse, 2 e éd., 1997, p. 417 s. ; Tevini/Du Pasquier, op. cit., n. 3 ad art. 112 CO ; Zellwegger-Gutknecht, Basler Kommentar OR I, 6 e éd., 2015, nn. 15 et 15a ad art. 112 CO). La stipulation pour autrui parfaite ne se présume pas (TF 4A_627/2011 du 8 mars 2012 consid. 3.5.1 ; ATF 123 III 129 consid. 3d ; Tevini/Du Pasquier, op. cit., n. 9 ad art. 112 CO). Elle se déduit avant tout de l'intention des parties (Tercier/Pichonnaz, op. cit., n. 1051 p. 236 ; Tevini/Du Pasquier, op. cit., n. 8 ad art. 112 CO ; Zellwegger-Gutknecht, op. cit., n. 9 ad art. 112 CO), mais également de l'usage, de la loi, ou encore du but et de la nature du contrat (Engel, op cit.,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op. cit., p. 423). Le but et la nature du contrat commandent de retenir une stipulation pour autrui parfaite lorsque la prestation en question n'a d'intérêt que pour le tiers bénéficiaire (Engel, op. cit., p. 425 et les ATF 46 II 131 consid. 4, JdT 1920 I 404 et 83 II 277 consid. 2, JdT 1958, 1170 cités).</w:t>
      </w:r>
    </w:p>
    <w:p>
      <w:r>
        <w:rPr>
          <w:b/>
        </w:rPr>
        <w:t>E. 4.4</w:t>
      </w:r>
    </w:p>
    <w:p>
      <w:r>
        <w:t>Le premier juge a retenu que l’avenant à la convention de divorce conclue par les époux L.S.________ et B.S.________ constituait un contrat de reprise de dette interne, dont seule profitait B.S.________. Il n’a pas analysé la question de la stipulation pour autrui.</w:t>
      </w:r>
    </w:p>
    <w:p>
      <w:r>
        <w:rPr>
          <w:b/>
        </w:rPr>
        <w:t>E. 4.5</w:t>
      </w:r>
    </w:p>
    <w:p>
      <w:r>
        <w:t>En l’espèce, il est indéniable que la convention en complétement et modification de la convention de divorce conclue par les époux L.S.________ et B.S.________ constitue une stipulation pour autrui parfaite, ainsi qu’il en résulte de la volonté manifestée par les parties. Cela découle tout d'abord clairement de la convention elle-même qui prévoit que l'intimé assume le paiement des honoraires directement auprès du recourant. Cela résulte également des messages adressés par l'ex-épouse et le conseil de celle-ci au recourant, confirmant que l'intimé procéderait au paiement de ses honoraires. C'est en vain que l'intimé fait valoir que le Tribunal civil de Bâle Ville n'a pas ratifié la convention litigieuse, la clause concernant le paiement des honoraires du recourant étant manifestement à la libre disposition des partes. L'intimé doit donc acquitter les honoraires de l'avocat de son ex-épouse conformément à l'engagement pris dans la convention en complétement et modification de la convention de divorce. En conséquence, le montant des honoraires n'étant pas contesté, L.S.________ est bien le débiteur de D.________ et lui doit prompt paiement de la somme de 5'549 fr. 65, plus intérêt à 5% l'an dès le 17 décembre 2015, date de la mise en demeure (cf. pièce 18a du bordereau du demandeur).</w:t>
      </w:r>
    </w:p>
    <w:p>
      <w:r>
        <w:rPr>
          <w:b/>
        </w:rPr>
        <w:t>E. 5</w:t>
      </w:r>
    </w:p>
    <w:p>
      <w:r>
        <w:t>En définitive, le recours doit être admis et la décision réformée, en ce sens que la demande est admise, les frais judiciaires et les dépens de première instance étant à la charge du défendeur.</w:t>
      </w:r>
    </w:p>
    <w:p>
      <w:r>
        <w:rPr>
          <w:b/>
        </w:rPr>
        <w:t>E. 6</w:t>
      </w:r>
    </w:p>
    <w:p>
      <w:r>
        <w:t>Vu l’issue du litige, la requête de dénonciation d’instance (art. 78 al. 1 CPC) du 20 juin 2017 déposée par le recourant D.________ est sans objet.</w:t>
      </w:r>
    </w:p>
    <w:p>
      <w:r>
        <w:rPr>
          <w:b/>
        </w:rPr>
        <w:t>E. 7</w:t>
      </w:r>
    </w:p>
    <w:p>
      <w:r>
        <w:t>Les frais judiciaires de deuxième instance sont arrêtés à 400 fr. (art. 69 al. 1 TFJC [tarif des frais judiciaires civils du 28 septembre 2010 ; RSV 270.11.5]). Ils seront mis à la charge de l’intimé L.S.________ (art. 106 al. 1 CPC). Ayant conclu au rejet du recours, l'intimé L.S.________ doit des dépens de deuxième instance au recourant D.________, arrêtés à 1'200 fr. (art. 8 TDC [tarif des dépens en matière civile du 23 novembre 2010 ; RSV 270.11.6]), ainsi que le remboursement de l'avance de frais effectuée, par 400 francs. Par ces motifs, la Chambre des recours civile du Tribunal cantonal, prononce : I. Le recours est admis. II. La décision est réformée comme il suit : I. Les conclusions de la partie demanderesse sont admises. II. L.S.________ est le débiteur de D.________ et lui doit prompt paiement de la somme de 5'549 fr. 65 (cinq mille cinq cent quarante-neuf francs et soixante-cinq centimes), plus intérêt à 5 % l’an dès le 17 décembre 2015, l’opposition au commandement de payer, poursuite n o [...] de l’Office des poursuites du district de Morges étant levée à concurrence de ce montant. III. Les conclusions reconventionnelles de la partie défenderesse sont rejetées. IV. Les frais judiciaires sont arrêtés à 900 fr. (neuf cents francs) et sont mis à la charge de la partie défenderesse. V. La partie défenderesse versera à la partie demanderesse la somme de 2'700 fr. (deux mille sept cents francs) à titre de dépens et de remboursement de l’avance de frais effectuée par la partie demanderesse. VI. Toutes autres ou plus amples conclusions sont rejetées. III. La requête de dénonciation d’instance est sans objet. IV. Les frais judiciaires de deuxième instance, arrêtés à 400 fr. (quatre cents francs), sont mis à la charge de l’intimé. V. L’intimé L.S.________ doit verser au recourant D.________ la somme de 1'600 fr. (mille six cents francs) à titre de dépens et de restitution de l’avance de frais. VI. L’arrêt est exécutoire. Le vice- président : La greffière : Du L'arrêt qui précède, dont la rédaction a été approuvée à huis clos, est notifié à : ‑ Me Enis Daci (pour D.________), ‑ Me Urs Portmann (pour L.S.________).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