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981 vom 15. August 2017</w:t>
      </w:r>
    </w:p>
    <w:p>
      <w:r>
        <w:t>VD Tribunal cantonal, 2017-08-15, FR</w:t>
      </w:r>
    </w:p>
    <w:p>
      <w:r>
        <w:rPr>
          <w:b/>
        </w:rPr>
        <w:t xml:space="preserve">Quelle: </w:t>
      </w:r>
      <w:r>
        <w:t>https://mcp.opencaselaw.ch/entscheid/vd_findinfo_HC___2017___981</w:t>
      </w:r>
    </w:p>
    <w:p>
      <w:r>
        <w:t>FR: VD_FINDINFO HC / 2017 / 981 du 15 août 2017</w:t>
      </w:r>
    </w:p>
    <w:p>
      <w:r>
        <w:t>IT: VD_FINDINFO HC / 2017 / 981 del 15 agosto 2017</w:t>
      </w:r>
    </w:p>
    <w:p>
      <w:pPr>
        <w:pStyle w:val="Heading2"/>
      </w:pPr>
      <w:r>
        <w:t>Regeste</w:t>
      </w:r>
    </w:p>
    <w:p>
      <w:r>
        <w:t>DÉCISION INCIDENTE, CAPACITÉ D'ESTER EN JUSTICE, HÉRITIER | 83 al. 4 CPC (CH)</w:t>
      </w:r>
    </w:p>
    <w:p>
      <w:pPr>
        <w:pStyle w:val="Heading2"/>
      </w:pPr>
      <w:r>
        <w:t>Erwägungen</w:t>
      </w:r>
    </w:p>
    <w:p>
      <w:r>
        <w:rPr>
          <w:b/>
        </w:rPr>
        <w:t>E. 1</w:t>
      </w:r>
    </w:p>
    <w:p>
      <w:r>
        <w:t>En l'espèce, la décision attaquée déclare notamment recevable la demande formée le 16 mars 2015 par les intimés, tendant à la dissolution et à la liquidation de la société simple J.________ selon rapport d'expertise du 26 mars 2013 établi par [...] sàrl. Il s'agit d'une décision incidente au sens de l’art. 237 al. 1 CPC, puisqu'elle tranche une question – la recevabilité de la demande – qui pourrait entraîner la fin du procès s’il était statué en sens contraire (Jeandin, CPC commenté, Bâle 2011, n. 9 ad art. 308 CPC).</w:t>
      </w:r>
    </w:p>
    <w:p>
      <w:r>
        <w:rPr>
          <w:b/>
        </w:rPr>
        <w:t>E. 1.1</w:t>
      </w:r>
    </w:p>
    <w:p>
      <w:r>
        <w:t>A teneur de l'art. 237 al. 2 CPC (Code de procédure civile suisse du 19 décembre 2008 ; RS 272), les décisions incidentes doivent être attaquées immédiatement, par un appel ou un recours; elles ne peuvent être attaquées ultérieurement dans un recours ou un appel contre la décision finale (Tappy, Les décisions incidentes selon la LTF et selon le CPC et les voies de droit cantonales et fédérales contre elles, in RSPC 3/2017 271ss, 271-272). L'appel est recevable contre les décisions incidentes de première instance, dans les causes exclusivement patrimoniales pour autant que la valeur litigieuse, au dernier état des conclusions devant l'autorité inférieure, soit de 10'000 fr. au moins (art. 308 al. 1 let. a et al.</w:t>
      </w:r>
    </w:p>
    <w:p>
      <w:r>
        <w:rPr>
          <w:b/>
        </w:rPr>
        <w:t>E. 1.2</w:t>
      </w:r>
    </w:p>
    <w:p>
      <w:r>
        <w:t>En l'espèce, les intimés ont conclu dans leur demande du 16 mars 2015 à ce que la liquidation de la société simple soit effectuée conformément au rapport d'expertise du 25 (recte 26) mars 2013 (IV) et à ce que trois parcelles leur soient attribuées en copropriété (V). L'appelant a conclu au rejet, alléguant que si la société simple devait être dissoute, la part lui revenant ne devrait pas être inférieure à 100'000 fr. (all. 108), subsidiairement à ce que les parcelles propriété de la société simple lui soient attribuées en propriété simple (all. 109). Il ressort des conclusions du rapport d'expertise du 26 mars 2013 que la perte de la société simple devrait être répartie entre les associés et que l'appelant devrait supporter une part aux pertes à hauteur de 24'380 fr. 90. La valeur litigieuse de la liquidation contestée est dès lors manifestement supérieure à 10'000 fr. de sorte que c'est la voie de l'appel qui est ouverte.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2.1</w:t>
      </w:r>
    </w:p>
    <w:p>
      <w:r>
        <w:t>in fine) ». Le défaut de la capacité d'ester du demandeur doit aboutir en premier lieu à la fixation au représentant légal d'un délai pour ratifier l'acte (art. 132 al. 1 CPC) ou, à défaut de représentant légal, à la suspension de la procédure (art. 126 al. 1 CPC) le temps d'en désigner un. Celui-ci aura la charge de ratifier le cas échéant. Dans un deuxième temps, à défaut de ratification, le tribunal refusera d'entrer en matière (cf. Bohnet, op. cit., nn. 79-80 ad art. 59 CPC et les réf. cit.). Est capable de discernement au sens du droit civil celui qui a la faculté d'agir raisonnablement (art. 16 CC).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ATF 124 III 5 consid. la ; ATF 117 II 231 consid. 2a et les références). La capacité de discernement est relative: elle ne doit pas être appréciée dans l'abstrait, mais concrètement, par rapport à un acte déterminé, en fonction de sa nature et de son importance, les facultés requises devant exister au moment de l'acte (ATF 134 II 235 consid. 4.3.2 ; ATF 118 la 236 consid. 2b in fine). La preuve de la capacité de discernement pouvant se révéler difficile à apporter, la pratique considère que celle-ci doit en principe être présumée, sur la base de l'expérience générale de la vie (ATF 134 II 235 consid. 4.3.3 ; ATF 124 III</w:t>
      </w:r>
    </w:p>
    <w:p>
      <w:r>
        <w:rPr>
          <w:b/>
        </w:rPr>
        <w:t>E. 3</w:t>
      </w:r>
    </w:p>
    <w:p>
      <w:r>
        <w:t>L'appelant reproche au premier juge d'avoir rendu sa décision sur la base d'une constatation inexacte des faits.</w:t>
      </w:r>
    </w:p>
    <w:p>
      <w:r>
        <w:rPr>
          <w:b/>
        </w:rPr>
        <w:t>E. 3.1</w:t>
      </w:r>
    </w:p>
    <w:p>
      <w:r>
        <w:t>Il évoque tout d'abord l'absence d'information de la Justice de paix s'agissant de la procédure initiée par B.R.________ et A.R.________. Dans son courrier du 23 février 2017, qui est intégralement reproduit dans la décision entreprise, la Juge de paix du district de Morges a indiqué qu'elle aurait consenti à la procédure de liquidation de la société simple et qu'elle aurait autorisé la curatrice de C.I.________ à plaider et transiger pour le compte de ce dernier, respectivement à s'adjoindre les services d'un avocat. Le contenu dudit courrier ne permet pas explicitement de déduire que la justice de paix ignorait l'existence de la procédure litigieuse. L'usage du conditionnel par la juge de paix ne peut, toutefois, se rapporter qu'à cette circonstance, dans la mesure où si elle avait eu connaissance de cette démarche judiciaire, compte tenu de la maxime inquisitoire illimitée et de la maxime d'office prévalant en matière de protection de l'adulte (art. 446 CC), elle aurait attiré l'attention de la curatrice sur la nécessité d'obtenir l'autorisation correspondante (cf. art. 416 al. 1 ch. 9 CC). Cette circonstance est cependant sans incidence sur l'issue du litige, de sorte qu'il ne se justifie pas de compléter l'état de fait en ce sens.</w:t>
      </w:r>
    </w:p>
    <w:p>
      <w:r>
        <w:rPr>
          <w:b/>
        </w:rPr>
        <w:t>E. 3.2</w:t>
      </w:r>
    </w:p>
    <w:p>
      <w:r>
        <w:t>L'appelant évoque également la date à laquelle les intimés ont transmis l'information selon laquelle, par convention du 7 décembre 2015, les héritiers de C.I.________ avaient cédé à B.R.________ et A.R.________ l'ensemble de leurs droits et obligations en lien avec la dissolution et la liquidation de la société simple. À ce grief, il convient de relever que la décision litigieuse ne fait certes pas mention du préambule de la convention – ce qui a été réparé dans l'état de fait de la présente décision (cf. chiffre 9.f supra). Le contenu de la convention, qui n'a pas la portée que lui prête l'appelant, y est toutefois intégralement repris. Aucun autre complément ne doit dès lors être apporté à l'état de fait sur ce point.</w:t>
      </w:r>
    </w:p>
    <w:p>
      <w:r>
        <w:rPr>
          <w:b/>
        </w:rPr>
        <w:t>E. 3.3</w:t>
      </w:r>
    </w:p>
    <w:p>
      <w:r>
        <w:t>L'appelant soutient encore que la conclusion V de la demande formée par les intimés le 16 mars 2015 ne fait pas mention de C.I.________ et il relève l'absence de toute conclusion précise en faveur de ce dernier. Dans la mesure où l'état de fait de la décision entreprise mentionne exactement, sous chiffres 6 et 10, la teneur des conclusions formées par les intimés dans le cadre de la requête de conciliation préalable, respectivement de la demande au fond, il n'y a pas lieu de compléter l'état de fait sur ce point.</w:t>
      </w:r>
    </w:p>
    <w:p>
      <w:r>
        <w:rPr>
          <w:b/>
        </w:rPr>
        <w:t>E. 3.4</w:t>
      </w:r>
    </w:p>
    <w:p>
      <w:r>
        <w:t>Pour le surplus, l'état de fait a été complété dans le sens requis par l'appelant s'agissant de l'état comateux de C.I.________ depuis le 14 juillet 2013 et de la date à laquelle la procuration conférée à l'avocat Jean-Michel Henny a été produite au dossier de la présente cause.</w:t>
      </w:r>
    </w:p>
    <w:p>
      <w:r>
        <w:rPr>
          <w:b/>
        </w:rPr>
        <w:t>E. 4</w:t>
      </w:r>
    </w:p>
    <w:p>
      <w:r>
        <w:t>L'appelant invoque ensuite l'absence de capacité d'ester, respectivement de qualité pour agir de C.I.________ au moment de l'ouverture d'action. Il fait en outre valoir que le premier juge aurait dû prendre acte du désistement d'action des héritiers de feu C.I.________, circonstance influant sur la qualité pour agir. Enfin, il conteste n'avoir pas agi de bonne foi dans le cadre de la présente procédure.</w:t>
      </w:r>
    </w:p>
    <w:p>
      <w:r>
        <w:rPr>
          <w:b/>
        </w:rPr>
        <w:t>E. 4.1.1</w:t>
      </w:r>
    </w:p>
    <w:p>
      <w:r>
        <w:t>Le tribunal n'entre en matière que sur les demandes et les requêtes qui satisfont aux conditions de recevabilité de l'action (art. 59 al. 1 CPC), au nombre desquelles figure la capacité d'ester en justice des parties (art. 59 al. 2 let. c CPC). Cet examen doit s'effectuer d'office, dès réception de la demande en justice, ou à tout moment par la suite. Le juge ou le tribunal est à cet égard souvent tributaire des éléments fournis par les parties. Il revient ainsi au demandeur d'apporter les éléments permettant de conclure au respect des conditions de recevabilité, selon les règles de procédure applicables en matière de présentation des faits et des preuves. Lorsque la condition est négative (par exemple l'absence de capacité d'ester), c'est au défendeur qu'il revient d'apporter les éléments permettant au juge d'en prendre connaissance, en principe dans la réponse, à tout le moins dès qu'il est en mesure de le faire et avant la clôture des débats principaux (cf. Bohnet, CPC commenté, Bâle 2011, nn. 2-5 ad art. 60 CPC). Les conditions de recevabilité doivent être réunies au moment du jugement. Si le tribunal constate à ce stade du procès que toutes les conditions de recevabilité n'étaient pas encore remplies au début de la litispendance, mais qu'elles se sont réalisées en cours d'instance, le juge doit statuer sur le fond (cf. Bohnet, op. cit., n. 13 ad art. 60 CPC et les réf. cit. ; ATF 133 III 539 consid. 4.3, RSPC 2007 363 ; ATF 140 III 159 consid. 4.2.4). A l'inverse, si au moment du jugement la demande ne satisfait pas aux conditions de recevabilité, le tribunal refusera d'entrer en matière et déclarera la demande irrecevable (art. 59 al. 1 CPC).</w:t>
      </w:r>
    </w:p>
    <w:p>
      <w:r>
        <w:rPr>
          <w:b/>
        </w:rPr>
        <w:t>E. 4.1.2</w:t>
      </w:r>
    </w:p>
    <w:p>
      <w:r>
        <w:t>Selon la jurisprudence fédérale (cf. notamment TF 5A_81/2015 du 28 mai 2015 consid. 4 et 4.1, dont sont tirés les considérants suivants), « La capacité d'ester en justice des parties (Prozessfähigkeit; capacità processuale) est la faculté de mener soi-même le procès ou de désigner un mandataire qualifié pour le faire (parmi plusieurs arrêts, TF 1C_359/2013 du 14 novembre 2013 consid. 2.1, in SJ 2014 I 141; TF 5A_441/2011 du 16 décembre 2011 consid. 1.2.2). Il s'agit d'une condition de recevabilité de la demande (art. 59 al. 1 et al. 2 let. c CPC), que le tribunal doit examiner d'office en vertu de l'art. 60 CPC (TF 5A_88/2013 du 21 mai 2013 consid. 3.3.2). L'exercice des droits civils confère la capacité d'ester en justice (art. 67 al. 1 CPC). Les personnes incapables de discernement n'ont pas l'exercice des droits civils, même si elles n'ont pas été placées sous curatelle de portée générale (art. 17 CC; ATF 77 II 7 consid. 2 ; TF 5A_88/2013 du 21 mai 2013 consid.</w:t>
      </w:r>
    </w:p>
    <w:p>
      <w:r>
        <w:rPr>
          <w:b/>
        </w:rPr>
        <w:t>E. 4.1.3</w:t>
      </w:r>
    </w:p>
    <w:p>
      <w:r>
        <w:t>D'après la jurisprudence fédérale (en particulier, pour un exemple récent, cité par l'appelant, traitant également du rapport entre capacité d'ester et substitution de partie, cf. TF 4A_357/2016 du 8 novembre 2016, publié aux ATF 142 Ill 782, dont sont tirés les considérants entre guillemets suivants), les « membres de la société simple, les associés simples, sont propriétaires en main commune des choses, créances et droits réels transférés ou acquis à la société simple et forment une communauté s'agissant de l'actif (art. 544 al. 1 CO). Ils sont ainsi titulaires ensemble d'un seul et même droit et ne peuvent en disposer qu'en commun (ATF 137 III 455 consid. 3.4; ATF 116 II 49 consid. 3; à l'inverse, en ce qui concerne le passif, ils sont débiteurs solidaires des dettes en vertu de l'art. 544 al. 3 CO). Cette règle vaut pour toutes les créances revenant à la société simple, y compris les éventuelles créances en dommages-intérêts (ATF 137 III 455 consid. 3.4) (…). Le corollaire en procédure de ce " rapport de droit " qu'est la société simple est que tous ses membres doivent nécessairement ouvrir action ensemble, comme consorts nécessaires: en effet, en vertu de l'art. 70 al. 1 CPC, les parties à un rapport de droit qui n'est susceptible que d'une décision unique doivent agir conjointement (gemeinsam klagen). Dès lors que la communauté qu'est la société simple sur le plan de l'actif découle du droit matériel (art. 544 al. 1 CC), cette consorité nécessaire est qualifiée de matérielle (ATF 140 III 598 consid. 3.2; ATF 136 III 123 consid. 4.4.1). Dans la suite de la procédure, les consorts nécessaires doivent en principe aussi procéder en commun. Toutefois, en vertu de l'art. 70 al. 2 CPC, les actes de procédure accomplis en temps utile par l'un des consorts valent pour ceux qui n'ont pas agi, à l'exception des recours (art. 70 al. 2 CPC). Par conséquent, pour le dépôt d'un recours, comme pour l'ouverture de l'action en justice, tous les consorts nécessaires doivent agir ensemble (ATF 138 III 737 consid. 2; Message du 28 juin 2006 relatif au code de procédure civile suisse, FF 2006 p. 6894 ad art. 68 CPC) (…). Ce n'est qu'en cas d'urgence qu'un associé simple peut ouvrir action seul, en son nom et en tant que représentant de la communauté, pour sauvegarder les intérêts de celle-ci (ATF 125 III 219 consid, la; ATF 121 III 118 consid. 3 et les arrêts cités). Le pouvoir d'agir plus étendu reconnu, en particulier à un héritier en procédure administrative n'est pas applicable en procédure civile (ATF 121 III 118 consid. 3; pour la procédure administrative, cf. ATF 119 lb 56 consid. 1 a; ATF 116 lb 447 consid. 2b). Demeurent réservées la cession de créance de l'associé qui ne souhaite pas participer à la procédure à ses autres associés avant l'ouverture d'action (art. 165 CO) ou l'attribution de cet actif à ces associés dans le cadre d'une liquidation partielle de la société simple (art. 548 et 549 CO) (ATF 137 III 45 consid. 3.6). Si l'action a été ouverte contre une personne qui n'a pas la qualité pour défendre, il en résulte le rejet de l'action (ATF 126 III 59 consid. la), et non l'irrecevabilité de celle-ci (ATF 107 II 82 consid. 2a). (...) Il en va de même lorsque l'action n'a pas été introduite par celui qui a la qualité pour agir (TF 4A_576/2010 du 7 juin 2011 consid. 3.1.1, non publié aux ATF 137 III 352; ATF 111 II 358 consid. 4a). En particulier, si l'action n'a pas été ouverte par tous les associés de la société simple, qui ne peuvent agir en justice qu'ensemble comme consorts matériels nécessaires (art. 70 al. 1 CPC), elle doit être rejetée, faute de qualité pour agir (ATF 140 III 598 consid. 3.2; ATF 138 III 737 consid. 2; ATF 137 III 455 consid. 3.5). Il ne faut pas confondre la désignation inexacte d'une partie avec le défaut de qualité pour agir ou pour défendre (TF 4A_560/2015 du 20 mai 2015 consid. 4.2; ATF 141 III 539 consid. 3.5.1 in fine).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Quant à la substitution de partie, elle vise un changement de partie (art. 83 CPC; Parteiwechsel) en cours d'instance, en particulier en cas d'aliénation de l'objet du litige (ou de cession de créance) durant le procès (art. 83 al. 1 CPC) ou en vertu de dispositions spéciales prévoyant une succession légale (art. 83 al. 4, 2 e phr. CPC; TF 4A_560/2015 précité consid. 4.2 ; TF 4A_385/2014 du 29 septembre 2014 consid. 4.1); en dehors de ces hypothèses, le changement de partie est subordonné au consentement de la partie adverse (art. 83 al. 4, 1 re phr. CPC). (...) Le respect des formes procédurales est nécessaire à la mise en œuvre des voies de droit pour assurer le déroulement de la procédure conformément au principe de l'égalité de traitement, ainsi que pour garantir l'application du droit matériel (ATF 138 III 213 consid. 2.5). Or, il n'y a aucun formalisme excessif à exiger que le demandeur (ou le recourant) désigne avec précision et correctement l'identité des personnes qui agissent comme créancier ou comme débiteur, c'est-à-dire les parties qui ont la qualité pour agir et la qualité pour défendre, exigence qui relève du droit matériel, ce d'autant que l'acte d'ouverture d'action a pour effet d'interrompre la prescription, respectivement permet de respecter le délai de péremption. »</w:t>
      </w:r>
    </w:p>
    <w:p>
      <w:r>
        <w:rPr>
          <w:b/>
        </w:rPr>
        <w:t>E. 4.1.4</w:t>
      </w:r>
    </w:p>
    <w:p>
      <w:r>
        <w:t>Toujours selon la jurisprudence fédérale (TF 4A_404/2016 du</w:t>
      </w:r>
    </w:p>
    <w:p>
      <w:r>
        <w:rPr>
          <w:b/>
        </w:rPr>
        <w:t>E. 4.2.1</w:t>
      </w:r>
    </w:p>
    <w:p>
      <w:r>
        <w:t>En l'espèce, dès l'été 2013, C.I.________ a été plongé dans un état d'inconscience (coma) consécutif à un choc anaphylactique, dont il n'est pas sorti jusqu'à son décès survenu le 13 juillet 2015. Il est patent, au vu des considérations qui précèdent (consid. 4.1.2 supra), que l'intéressé ne disposait pas, à l'ouverture d'action déjà, de la capacité d'ester.</w:t>
      </w:r>
    </w:p>
    <w:p>
      <w:r>
        <w:rPr>
          <w:b/>
        </w:rPr>
        <w:t>E. 4.2.2</w:t>
      </w:r>
    </w:p>
    <w:p>
      <w:r>
        <w:t>Cela étant, la circonstance de l'accident dont a été victime C.I.________ et la curatelle de portée générale instituée en conséquence ont été portées à la connaissance tant du premier juge que du conseil de l'appelant à la date du 19 octobre 2015, de sorte que dès cette date, il appartenait au défendeur, le cas échéant, de se prévaloir de cette condition négative de recevabilité, s'agissant d'une cause (action en dissolution et liquidation de la société simple) soumise à la maxime des débats (art. 55 al. 1 CPC) et à la procédure ordinaire des art. 219 ss CPC (cf. art. 6 ch. 73 CDPJ a contrario). Même si le conseil de la partie défenderesse n'a été informé de l'absence de capacité de discernement de C.I.________ qu'à réception de l'envoi du 19 octobre 2015 du conseil de la partie demanderesse, il pouvait s'en prévaloir, s'agissant d'un nova improprement dit, aux conditions de l'art. 229 al. 1 let. b CPC, soit en faisant preuve de la diligence requise et notamment en invoquant cette circonstance sans retard. Force est de constater à cet égard que le fait d'avoir attendu plus d'un an pour s'en prévaloir à l'appui de la requête incidente du 22 décembre 2016 excède manifestement la mesure tolérable, s'agissant de surcroît d'une partie assistée d'un avocat dont on peut attendre une plus grande diligence que de la partie non assistée (cf. Tappy, CPC commenté, op. cit., nn. 9-13 ad art. 229 CPC). Le raisonnement ne conduirait pas à un résultat différent s'il fallait qualifier l'incapacité de discernement de C.I.________ et la mesure de protection dont il faisait l'objet de novas proprement dits au sens de l'art. 229 al. 1 let. a CPC : en ce cas, le retard dans l'invocation de cette circonstance nouvelle et du moyen de preuve y relatif pouvait être sanctionné sous l'angle de la bonne foi en procédure (art. 52 CPC ; cf. Tappy, op. cit., n. 8 ad art. 229 CPC). Il apparaît dès lors que la requête était tardive sous l'angle de l'art. 229 CPC, respectivement abusive au regard des art. 2 al. 2 CC et 52 CPC. Le moyen de l'appelant tendant au constat de sa bonne foi est donc non seulement irrecevable (il ne saurait y avoir d'appel sur les motifs), mais également mal fondé.</w:t>
      </w:r>
    </w:p>
    <w:p>
      <w:r>
        <w:rPr>
          <w:b/>
        </w:rPr>
        <w:t>E. 4.2.3</w:t>
      </w:r>
    </w:p>
    <w:p>
      <w:r>
        <w:t>Enfin, contrairement à ce que soutient l'appelant, il ressort explicitement de la doctrine et de la jurisprudence que l'examen des conditions de recevabilité doit s'effectuer d'office au plus tard au moment du jugement ; en particulier, si le tribunal constate à ce stade que toutes les conditions de recevabilité n'étaient pas encore remplies au début de la litispendance, mais qu'elles se sont réalisées en cours d'instance, il doit passer au jugement au fond (cf. consid. 4.1.1 supra). Or, au moment où le premier juge a été requis de statuer sur la recevabilité de la demande, la question de l'examen de la capacité d'ester de C.I.________ – respectivement de l'existence ou non d'une ratification valable des écritures déposées en son nom par sa curatrice, puis par l'autorité de protection – ne se posait plus: en effet, ainsi que l'a retenu le premier juge, ensuite du décès de l'intéressé, sa veuve et ses enfants lui ont succédé à titre universel (art. 560 CC), entraînant la substitution de partie ex lege visée à l'art. 83 al. 4 2 e phr. CPC. Dès cet instant, les associés de la société simple litigieuse, parmi lesquels les héritiers de feu C.I.________, étaient tous valablement représentés au procès – les enfants du défunt par leur mère (art. 297 al. 1 CC) – et l'appelant ne fait valoir aucune circonstance justifiant de retenir l'inverse. Au surplus, quoi que semble en penser l'appelant, la capacité d'ester, respectivement l'absence de cette capacité, est sans corrélation directe avec la qualité pour agir (ou légitimation active) de C.I.________, cette dernière question étant en lien avec la titularité du droit déduit au fond. Or l'appelant ne prétend pas que C.I.________ ne disposait pas de la titularité des droits et obligations découlant de sa qualité d'associé. 5. Autre est la question de savoir si les héritiers de feu C.I.________ disposent encore de la légitimation active ou si, comme le prétend l'appelant, ils ont valablement cédé la titularité des droits et obligations découlant de la société simple aux associés B.R.________ et A.R.________ par la convention du 7 décembre 2015.</w:t>
      </w:r>
    </w:p>
    <w:p>
      <w:r>
        <w:rPr>
          <w:b/>
        </w:rPr>
        <w:t>E. 5</w:t>
      </w:r>
    </w:p>
    <w:p>
      <w:r>
        <w:t>consid. 1 b ; ATF 117 II 231 consid. 2b).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(ATF 134 II 235 consid. 4.3.3 et les références). Toute atteinte à la santé mentale ne permet pas de présumer l'incapacité de discernement. Il faut que cette atteinte crée une dégradation durable et importante des facultés de l'esprit (TF 5A_859/2014 du 17 mars 2015 consid. 4.1.2 in fine et la référence).</w:t>
      </w:r>
    </w:p>
    <w:p>
      <w:r>
        <w:rPr>
          <w:b/>
        </w:rPr>
        <w:t>E. 5.1.1</w:t>
      </w:r>
    </w:p>
    <w:p>
      <w:r>
        <w:t>L'appelant ne conteste pas l'argumentation du premier juge relative à l'absence d'aliénation de l'objet du litige et donc de substitution valable de partie au sens de l'art. 83 al. 1 CPC, compte tenu de ce que la convention en question n'avait pas été passée en la forme authentique, contrairement à ce que prévoit l'art. 657 al. 1 CC, quand bien même elle visait notamment l'attribution de la propriété de plusieurs immeubles. Il est donc inutile de s'y attarder, d'autant que le raisonnement du premier juge sur ce point apparaît pertinent, y compris sous l'angle d'une liquidation partielle de la société simple (548 et 549 CO ; hypothèse mentionnée par la jurisprudence fédérale ATF 142 III 782 déj. cit.), étant précisé que sauf convention contraire expresse du contrat de société ou de la convention de liquidation, la vente de biens immobiliers ou d'autres actifs particulièrement importants requiert l'unanimité des associés (Chaix, Commentaire romand CO-II, 2 e éd., Bale 2017, n. 11 ad art. 548-550 CO) et que le transfert des immeubles nécessite en tous les cas l'inscription au Registre foncier (Chaix, op. cit., n. 22 ad art. 548-550), toutes conditions qui font défaut dans le cas d'espèce.</w:t>
      </w:r>
    </w:p>
    <w:p>
      <w:r>
        <w:rPr>
          <w:b/>
        </w:rPr>
        <w:t>E. 5.1.2</w:t>
      </w:r>
    </w:p>
    <w:p>
      <w:r>
        <w:t>Selon l'art. 18 al. 1 CO (Code des obligations du 30 mars 1911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ATF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ATF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ATF 132 III 626 consid. 3.1 in fine; TF 4A_219/2012 du 30 juillet 2012 consid. 2.5). En effet, le comportement ultérieur des parties n’a pas d’importance dans l’interprétation objective du contrat, le moment déterminant étant celui de la conclusion du contrat (ATF 132 III 626 consid. 3.1, JdT 2007 I 423).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136 III 186 consid. 3.2.1 ; ATF 135 III 295 consid.</w:t>
      </w:r>
    </w:p>
    <w:p>
      <w:r>
        <w:rPr>
          <w:b/>
        </w:rPr>
        <w:t>E. 5.2</w:t>
      </w:r>
    </w:p>
    <w:p>
      <w:r>
        <w:t>Le simple fait que les co-demandeurs, parties à la convention du</w:t>
      </w:r>
    </w:p>
    <w:p>
      <w:r>
        <w:rPr>
          <w:b/>
        </w:rPr>
        <w:t>E. 7</w:t>
      </w:r>
    </w:p>
    <w:p>
      <w:r>
        <w:t>décembre 2015, ont conclu au rejet de la requête incidente du 22 décembre 2016 témoigne de ce que leur volonté ne saurait objectivement être interprétée dans le sens du désistement plaidé par l'appelant. En outre, le libellé de l'exposé préliminaire par lequel les stipulants sont convenus de « trouver une solution pour permettre aux héritiers de feu C.I.________ de se retirer des procédures en cours » exprime une intention et non une volonté déjà arrêtée et irrévocable de l'ensemble des intéressés d'abandonner leurs conclusions (cf. art. 65 CPC ; Bohnet, CPC commenté, op. cit., nn. 2 ss ad art. 65 CPC). Le moyen est dès lors également mal fondé. 6. En définitive, l'appel, mal fondé, doit être rejeté selon le mode procédural de l'art. 312 al. 1 CPC et la décision entreprise intégralement confirmée. 6.1 La requête d'assistance judiciaire déposée par F.________ doit être rejetée, dès lors que son appel était dépourvu de toute chance de succès (art. 117 let. b CPC). 6.2 Les frais judiciaires de deuxième instance, arrêtés à 2'000 fr. (art. 62 al. 1 TFJC [tarif des frais judiciaires civils du 28 septembre 2010 ; RSV 270.11.5]), seront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