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955 vom 25. Oktober 2017</w:t>
      </w:r>
    </w:p>
    <w:p>
      <w:r>
        <w:t>VD Tribunal cantonal, 2017-10-25, FR</w:t>
      </w:r>
    </w:p>
    <w:p>
      <w:r>
        <w:rPr>
          <w:b/>
        </w:rPr>
        <w:t xml:space="preserve">Quelle: </w:t>
      </w:r>
      <w:r>
        <w:t>https://mcp.opencaselaw.ch/entscheid/vd_findinfo_HC___2017___955</w:t>
      </w:r>
    </w:p>
    <w:p>
      <w:r>
        <w:t>FR: VD_FINDINFO HC / 2017 / 955 du 25 octobre 2017</w:t>
      </w:r>
    </w:p>
    <w:p>
      <w:r>
        <w:t>IT: VD_FINDINFO HC / 2017 / 955 del 25 ottobre 2017</w:t>
      </w:r>
    </w:p>
    <w:p>
      <w:pPr>
        <w:pStyle w:val="Heading2"/>
      </w:pPr>
      <w:r>
        <w:t>Regeste</w:t>
      </w:r>
    </w:p>
    <w:p>
      <w:r>
        <w:t>DÉCISION DE RENVOI, TRIBUNAL FÉDÉRAL, CHARGE FISCALE | 176 al. 1 ch. 1 CC</w:t>
      </w:r>
    </w:p>
    <w:p>
      <w:pPr>
        <w:pStyle w:val="Heading2"/>
      </w:pPr>
      <w:r>
        <w:t>Erwägungen</w:t>
      </w:r>
    </w:p>
    <w:p>
      <w:r>
        <w:rPr>
          <w:b/>
        </w:rPr>
        <w:t>E. 1.1</w:t>
      </w:r>
    </w:p>
    <w:p>
      <w:r>
        <w:t>. 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En l’espèce, la seule question qui demeure litigieuse ensuite du second arrêt de renvoi du Tribunal fédéral est celle de l’estimation de la charge fiscale devant permettre à l’appelante de maintenir son train de vie.</w:t>
      </w:r>
    </w:p>
    <w:p>
      <w:r>
        <w:rPr>
          <w:b/>
        </w:rPr>
        <w:t>E. 2.1</w:t>
      </w:r>
    </w:p>
    <w:p>
      <w:r>
        <w:t>L’appelante soutient que le taux maximal de l’impôt s’élèverait à 41.5 % du revenu. Ainsi, au vu de l’importance des revenus de l’appelante, ses propres charges ainsi que les contributions pour les deux filles devraient représenter le 58.5 % de la pension totale due, charge fiscale comprise. Dès lors, son revenu mensuel hors impôts de 57'728 fr. par mois (51'728 fr. + 3'000 fr. + 3'000 fr.) représenterait le 58.5 % de la pension totale, qui devrait s’élever à 98'680 francs. Le 41.5 % de ce montant, soit 40'952 fr., constituerait sa charge fiscale. Après déduction de la pension due en faveur des deux filles, par 6'000 fr., la pension due en faveur de l’appelante devrait s’élever à 92'680 fr., montant arrondi à 92'700 francs. L’appelante déclare pour le surplus renoncer à la prise en compte au titre de sa charge fiscale de l’impôt sur sa fortune de 250'000 fr., compte tenu d’un montant y relatif qu’elle estime à 70 fr. 90 par mois. L’intimé, pour sa part, fait valoir que les déductions fiscales dont bénéficierait l’appelante devraient être prises en compte dans le calcul de sa charge fiscale.</w:t>
      </w:r>
    </w:p>
    <w:p>
      <w:r>
        <w:rPr>
          <w:b/>
        </w:rPr>
        <w:t>E. 2.2</w:t>
      </w:r>
    </w:p>
    <w:p>
      <w:r>
        <w:t>En l’espèce, il n’est plus litigieux à ce stade que le train de vie de l’appelante s’élève à 51'728 fr. par mois et que la pension due par l’intimé en faveur des deux filles s’élève à 3'000 fr. par fille. Il convient d’estimer la charge fiscale permettant à l’appelante, après paiement de ses impôts, de maintenir son train de vie et celui de ses filles. Si l’on introduit dans le calculateur fiscal de l’administration cantonale des impôts le montant avancé par l’appelante, on constate qu’un revenu annuel de 1'184'160 fr. (98'680 fr. x 12), sans fortune, occasionne une charge fiscale de 490'899 fr. 50 par an, soit de 40'908 fr. par mois. Après paiement de ce montant, l’appelante dispose encore d’un montant de 57'772 fr. par mois, suffisant pour couvrir son propre train de vie, par 51'728 fr., et celui de ses deux filles, par 6'000 francs. Dès lors, après déduction des 6'000 fr. dus en faveur des deux filles des parties, la pension due en faveur de l’appelante doit s’élever à 92'680 fr. par mois, montant arrondi à 92'700 francs. Pour le surplus, il n’y a pas lieu de calculer la charge fiscale afférente à la fortune de l’appelante, à hauteur de 250'000 fr., celle-ci y ayant renoncé compte tenu d’un montant y relatif estimé à 70 fr. 90 par mois. L'intimé, en tant qu’elle demande la prise en compte des déductions fiscales dont bénéficierait l’appelante, perd de vue qu'il ne s'agit que d'une estimation en droit de la famille, le juge civil ne devant pas se substituer au taxateur fiscal et tenir compte de déductions fiscales du reste hypothétiques, tout comme le reste de l'estimation .</w:t>
      </w:r>
    </w:p>
    <w:p>
      <w:r>
        <w:rPr>
          <w:b/>
        </w:rPr>
        <w:t>E. 3</w:t>
      </w:r>
    </w:p>
    <w:p>
      <w:r>
        <w:t>En définitive, l’appel doit être partiellement admis et l’ordonnance entreprise réformée ce sens que le ch. VII est supprimé et que dès et y compris le 1 er novembre 2014, l'intimé doit verser une contribution d'entretien mensuelle de 92'700 fr. à l'appelante (ch. VIII) et de 3'000 fr. pour chacune de ses filles, en plus des frais fixes et extraordinaires de celles-ci (ch. VIIIbis). Il n’y a pas lieu de percevoir de nouveaux frais à la suite de l’arrêt de renvoi (art. 5 al. 1 TFJC [tarif des frais judiciaires civils du 28 septembre 2010 ; RSV 270.11.5]). L'appelante concluait dans ses déterminations sur le premier arrêt de renvoi au versement d'une pension globale de 112'500 fr. pour elle-même et ses enfants. Elle en obtient au final 98'700 fr., soit 87,7%. Par conséquent, les frais judiciaires de deuxième instance, arrêtés à 10'000 fr. (art. 65 al. 4 TFJC), seront répartis à raison d'un dixième, soit 1'000 fr., à la charge de l'appelante, et à raison de neuf dixièmes, soit 9'000 fr., à la charge de l'intimé. La charge des dépens, évaluée à 14'000 fr. par partie (art. 7 TDC [tarif des dépens en matière civile du 23 novembre 2010 ; RSV 270.11.6]), sera répartie dans la même proportion. Après compensation, l'intimé versera donc à l'appelante la somme de 11'200 fr. à titre de dépens de deuxième instance, ainsi que la somme de 9'000 fr. à titre de restitution partielle de l'avance de frais de deuxième instance. Par ces motifs, la Juge déléguée de la Cour d’appel civile prononce : I. L’appel est partiellement admis . II. L’ ordonnance est réformée comme il suit : VII. supprimé. VIII. dit que C.________ doit verser, en mains de S.________, d'avance le premier de chaque mois, dès et y compris le 1 er novembre 2014, une pension mensuelle de 92'700 fr. (nonante-deux mille sept cents francs). VIIIbis dit que C.________ doit verser, en mains de S.________, d'avance le premier de chaque mois, dès et y compris le 1 er novembre 2014, une pension mensuelle de 3'000 (trois mille francs) en faveur de W.________, ainsi qu'une pension mensuelle de 3'000 fr. (trois mille francs) en faveur de V.________, et dit que C.________ doit s'acquitter en outre des frais fixes et extraordinaires de ses filles W.________ et V.________. L'ordonnance est confirmée pour le surplus. III. Les frais judiciaires de deuxième instance, arrêtés à 10'000 fr. (dix mille francs), sont mis par 1'000 fr. (mille francs) à la charge de l'appelante S.________ et par 9'000 fr. (neuf mille francs) à la charge de l'intimé C.________. IV. L'intimé C.________ doit verser à l'appelante S.________ la somme de 20'200 fr. (vingt mille deux cents francs) à titre de restitution partielle de l'avance de frais et de dépens de deuxième instance. V. L’arrêt est exécutoire. La juge déléguée : Le greffier : Du Le présent arrêt, dont la rédaction a été approuvée à huis clos, est notifié en expédition complète à : ‑ Mes Yves Burnand et Laure-Anne Suter (pour S.________), ‑ Me Jacques Barillon (pour C.________),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