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931 vom 15. August 2017</w:t>
      </w:r>
    </w:p>
    <w:p>
      <w:r>
        <w:t>VD Tribunal cantonal, 2017-08-15, FR</w:t>
      </w:r>
    </w:p>
    <w:p>
      <w:r>
        <w:rPr>
          <w:b/>
        </w:rPr>
        <w:t xml:space="preserve">Quelle: </w:t>
      </w:r>
      <w:r>
        <w:t>https://mcp.opencaselaw.ch/entscheid/vd_findinfo_HC___2017___931</w:t>
      </w:r>
    </w:p>
    <w:p>
      <w:r>
        <w:t>FR: VD_FINDINFO HC / 2017 / 931 du 15 août 2017</w:t>
      </w:r>
    </w:p>
    <w:p>
      <w:r>
        <w:t>IT: VD_FINDINFO HC / 2017 / 931 del 15 agosto 2017</w:t>
      </w:r>
    </w:p>
    <w:p>
      <w:pPr>
        <w:pStyle w:val="Heading2"/>
      </w:pPr>
      <w:r>
        <w:t>Regeste</w:t>
      </w:r>
    </w:p>
    <w:p>
      <w:r>
        <w:t>AVANCE DE FRAIS, DROIT D'ÊTRE ENTENDU, TARIF{EN GÉNÉRAL}, ACCÈS À UN TRIBUNAL | 29 al. 2 Cst., 29a Cst., 91 al. 1 CPC (CH), 98 CPC (CH)</w:t>
      </w:r>
    </w:p>
    <w:p>
      <w:pPr>
        <w:pStyle w:val="Heading2"/>
      </w:pPr>
      <w:r>
        <w:t>Erwägungen</w:t>
      </w:r>
    </w:p>
    <w:p>
      <w:r>
        <w:rPr>
          <w:b/>
        </w:rPr>
        <w:t>E. 1</w:t>
      </w:r>
    </w:p>
    <w:p>
      <w:r>
        <w:t>Selon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avances de frais, au sens de cette disposition,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d'organisation judiciaire du 12 décembre 1979 ; RSV 173.01]). En l’espèce, interjeté en temps utile par des parties qui y ont un intérêt digne de protection (art. 59 al. 2 let. a CPC), le présent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 Basler Kommentar ZPO, 2 e éd., 2013, n. 12 ad art. 319 CPC). Elle revoit librement les questions de droit soulevées par le recourant et peut substituer ses propres motifs à ceux de l'autorité précédente ou du recourant (Hohl, Procédure civile, tome Il,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Les recourants invoquent une violation de leur droit d’être entendus. Ils reprochent au Juge délégué de la Chambre patrimoniale cantonale de n’avoir pas exposé les motifs l’ayant conduit à arrêter le montant de l’avance de frais à 129'805 francs.</w:t>
      </w:r>
    </w:p>
    <w:p>
      <w:r>
        <w:rPr>
          <w:b/>
        </w:rPr>
        <w:t>E. 3.2.1</w:t>
      </w:r>
    </w:p>
    <w:p>
      <w:r>
        <w:t>Le droit d'être entendu, garanti par les art. 29 al. 2 Cst. (Constitution fédérale de la Confédération suisse du 18 avril 1999 ; RS 101) et 53 al. 1 CPC , confère à toute partie à une procédure le droit d'être informée et entendue avant qu'une décision ne soit prise à son sujet. S’agissant d’une g arantie constitutionnelle de nature formelle, sa violation entraîne l'annulation de la décision attaquée sans égard aux chances de succès du recours sur le fond (ATF 133 I 201 consid. 2.2 ; ATF 132 V 387 consid. 5.1 ; ATF 127 V 431 consid. 3d/aa).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2F_20/2005 du 13 avril 2005 et les références citées ; TF 6B_76/2011 du 31 mai 2011).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3.2.2</w:t>
      </w:r>
    </w:p>
    <w:p>
      <w:r>
        <w:t>Selon l’art. 8 TFJC, plusieurs personnes sont considérées comme une seule partie au sens du présent tarif lorsqu’elles accomplissent ensemble un acte de procédure. L’art. 18 TFJC prévoit que, dans les litiges patrimoniaux en procédure ordinaire, l’émolument forfaitaire de la décision est fixé à un montant de base de 15'500 fr. pour une valeur litigieuse supérieure à 500'001 fr., plus 1,5% de la valeur litigieuse dépassant 500'000 fr., l’émolument ne devant toutefois pas dépasser 300'000 francs.</w:t>
      </w:r>
    </w:p>
    <w:p>
      <w:r>
        <w:rPr>
          <w:b/>
        </w:rPr>
        <w:t>E. 3.3</w:t>
      </w:r>
    </w:p>
    <w:p>
      <w:r>
        <w:t>En l’espèce, compte tenu du montant de 129'805 fr., il apparaît que l’avance de frais a été fixée par la Chambre patrimoniale cantonale en application des art. 8 et 18 TFJC, sur la base d’une valeur litigieuse de 8'120'335 fr. correspondant à l’addition des montants de 6'898'273 fr. et de 1'222'062 francs. En effet, d’une part, les recourants ont engagé leur action en pétition d’hérédité de concert, de sorte qu’ils doivent être considérés comme une seule partie et que l’application de la majoration prévue par l’art. 19 TFJC est exclue. D’autre part, en calculant l’avance de frais sur une valeur litigieuse de 8'120'335 fr. conformément à ce que prévoit l’art. 18 TFJC, on aboutit exactement au montant de 129'805 francs. Cela étant, il est vrai que la décision attaquée ne comporte pas d’autre motivation relative à la fixation du montant des sûretés que la référence à la réclamation pécuniaire exposée. Cependant, les recourants ont immédiatement compris le calcul, simple, opéré par la Chambre patrimoniale cantonale, résultant de l’application d’une disposition du tarif cantonal à la valeur litigieuse qu’ils avaient eux-mêmes chiffrée, pour fixer l’avance de frais. Cela ressort en effet clairement de leur recours. Par conséquent, la décision entreprise permettait aux recourants, ne serait-ce qu’implicitement, de comprendre comment le montant litigieux a été fixé. Ainsi, leur droit d’être entendus n’a pas été violé. Mal fondé, ce moyen doit donc être rejeté.</w:t>
      </w:r>
    </w:p>
    <w:p>
      <w:r>
        <w:rPr>
          <w:b/>
        </w:rPr>
        <w:t>E. 4.1</w:t>
      </w:r>
    </w:p>
    <w:p>
      <w:r>
        <w:t>Les recourants invoquent une violation des règles de calcul de la valeur litigieuse au sens de l’art. 91 CPC. Ils expliquent qu’ils réclament, dans leur action en pétition d’hérédité, la restitution d’avoirs déposés en mains de la banque [...] au nom de fondations dont ils contestent l’existence. Dans ces conditions, ils font valoir que la valeur litigieuse devrait prendre en compte la valeur objective des biens revendiqués, de sorte qu’il conviendrait de déduire du montant total de leurs conclusions une charge fiscale latente de 1'339'885 fr. et un montant de 611'031 fr. revenant au recourant à titre de legs. Ils considèrent dès lors que la valeur litigieuse devrait être arrêtée à 6'169'419 francs.</w:t>
      </w:r>
    </w:p>
    <w:p>
      <w:r>
        <w:rPr>
          <w:b/>
        </w:rPr>
        <w:t>E. 4.2</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(Tappy, CPC commenté, 2011,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 e éd., 2013, n. 10 ad art. 98 CPC). L'art. 91 al. 1 CPC pose le principe selon lequel la valeur litigieuse est déterminée par les conclusions, sans que les intérêts, les frais de la procédure, voire les conclusions subsidiaires, ne soient prises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Peu importe que l’enjeu réel puisse être moindre, notamment lorsque les chances de recouvrement sont faibles. En outre, il est indifférent que le montant réclamé soit exagéré ou au contraire réduit (Tappy, op. cit., n. 39 ad art. 91 CPC).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w:t>
      </w:r>
    </w:p>
    <w:p>
      <w:r>
        <w:rPr>
          <w:b/>
        </w:rPr>
        <w:t>E. 4.3</w:t>
      </w:r>
    </w:p>
    <w:p>
      <w:r>
        <w:t>En l’espèce, dans leur action en pétition d’hérédité du 15 juin 2017, S.________ et C.________ ont pris des conclusions totalisant un montant de 8'120'335 fr. en capital. Cette valeur litigieuse découle des conclusions qu’ils ont effectivement prises, de sorte que sa détermination ne procède d’aucune violation de l’art. 91 CPC. En particulier, on relève que la charge fiscale estimée résultant de l’impôt sur les successions n’est pas l’objet du litige porté devant la Chambre patrimoniale cantonale, de sorte qu’elle ne saurait, quoi qu’en disent les recourants, être déduite du montant des conclusions prises à l’encontre des défenderesses. Par ailleurs, l’instruction post-mortem d’attribuer à S.________ la moitié des avoirs en compte de la [...] n’a pas non plus d’incidence sur la quotité des conclusions et, partant, sur la valeur litigieuse. Dans ce contexte, le montant de 611'031 fr. n’aurait, le cas échéant, qu’une incidence sur le fondement partiel des conclusions précitées. Dans ces circonstances, le Juge délégué de la Chambre patrimoniale cantonale, qui a calculé l’avance de frais sur la base d’une valeur litigieuse de 8'120'335 fr., n’a pas violé l’art. 91 CPC.</w:t>
      </w:r>
    </w:p>
    <w:p>
      <w:r>
        <w:rPr>
          <w:b/>
        </w:rPr>
        <w:t>E. 5.1</w:t>
      </w:r>
    </w:p>
    <w:p>
      <w:r>
        <w:t>Les recourants, invoquant une violation des principes de la couverture des coûts et de l’équivalence, soutiennent qu’une avance de frais de près de 130'000 fr. serait excessive, quand bien même il serait tenu compte d’une valeur litigieuse de 8'120'335 francs. Ils relèvent que la cause ne présenterait pas de difficultés particulières sur le plan des faits et que le débat au fond devrait porter pour l’essentiel sur la question juridique de l’existence des fondations dont il est question dans leur demande en pétition d’hérédité. Les recourants considèrent dès lors que l’avance de frais ne devrait pas excéder un montant de l’ordre de 100'000 francs.</w:t>
      </w:r>
    </w:p>
    <w:p>
      <w:r>
        <w:rPr>
          <w:b/>
        </w:rPr>
        <w:t>E. 5.2</w:t>
      </w:r>
    </w:p>
    <w:p>
      <w:r>
        <w:t>Les émoluments judiciaires sont des contributions causales qui dépendent des coûts. A ce titre, ils doivent respecter les principes de la couverture des frais et de l'équivalence (ATF 120 la 171 consid. 2a et les arrêts cités). Le principe de l'équivalence suppose que le montant de chaque émolument soit en rapport avec la valeur objective de la prestation fournie et reste dans des limites raisonnables (ATF 130 III 225 consid. 2.3 ; ATF 121 I 230 consid. 3g/bb et les arrêts cités). La valeur de la prestation se mesure soit à son utilité pour le justiciable, soit à son coût par rapport à l'ensemble des dépenses de l'activité administrative en cause (ATF 130 III 225 consid. 2.3 ; ATF 120 la 171 consid. 2a et les références citées).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la 171 consid. 2a ; ATF 106 la 241 consid. 3a ; ATF 106 Ia 249 consid. 3b).</w:t>
      </w:r>
    </w:p>
    <w:p>
      <w:r>
        <w:rPr>
          <w:b/>
        </w:rPr>
        <w:t>E. 5.3</w:t>
      </w:r>
    </w:p>
    <w:p>
      <w:r>
        <w:t>En l’espèce, il y a lieu de relever que le magistrat se trouve dans l’impossibilité d’estimer, au stade de l’avance de frais, soit sur la seule base de la demande déposée devant la Chambre patrimoniale cantonale, si l’émolument qui sera facturé au terme de la procédure correspondra au montant de l’avance de frais pour respecter le principe de l’équivalence. L’art. 22 al. 8 TFJC, applicable pour les causes dont la valeur litigieuse est supérieure à 500'000 fr., prévoit cependant que l’émolument pourra être réduit en tenant compte de la complexité de l’affaire et des travaux accomplis par la cour et le greffe, si bien que l’adéquation de l’émolument par rapport à la valeur objective de la prestation fournie par l’autorité pourra être examinée au terme de la procédure, lors de la fixation des frais. Ainsi, le respect des principes invoqués par les recourants seront de toute manière examinés à ce moment-là. Dans ces conditions, une violation du principe de l’équivalence ne saurait déjà être constatée à ce stade. Au demeurant, contrairement à ce que soutiennent les recourants, la présente affaire revêt une certaine complexité de fait et de droit en raison des aspects d’extranéité qu’elle présente et de la thèse des demandeurs selon laquelle les détentrices des avoirs en comptes seraient des personnes juridiques fictives. Par ailleurs, comme cela sera développé ci-dessous (cf. consid. 6 infra ), l’avance de frais requise ne paraît pas de nature à empêcher ou à rendre difficile à l’excès la saisine de la Chambre patrimoniale cantonale par les recourants.</w:t>
      </w:r>
    </w:p>
    <w:p>
      <w:r>
        <w:rPr>
          <w:b/>
        </w:rPr>
        <w:t>E. 6.1</w:t>
      </w:r>
    </w:p>
    <w:p>
      <w:r>
        <w:t>Les recourants soutiennent que le montant d’une avance de frais de près de 130'000 fr. dans le cadre d’une action en pétition d’hérédité entraverait leur accès à la justice. Ils considèrent que l’avance de frais ne devrait pas dépasser un montant de l’ordre de 100'000 francs.</w:t>
      </w:r>
    </w:p>
    <w:p>
      <w:r>
        <w:rPr>
          <w:b/>
        </w:rPr>
        <w:t>E. 6.2</w:t>
      </w:r>
    </w:p>
    <w:p>
      <w:r>
        <w:t>Selon l’art. 29a Cst., toute personne a droit à ce que sa cause soit jugée par une autorité judiciaire. La garantie de l’accès au juge n'exclut pas que des émoluments ou avances de frais soient exigés des plaideurs, ni que des délais soient fixés pour l'exécution de ces prestations pécuniaires, sous peine, en cas de retard, de refus d'entrer en matière sur les conclusions ou réquisitions présentées (TF 4D_69/2011 du 2 mai 2012 consid. 4.2.4 ; ATF 133 V 402 consid. 3.3 ; ATF 124 I 322 consid. 4d). Cette garantie ne libère pas celui qui s’en prévaut de requérir l’assistance judiciaire, respectivement de solliciter la réduction ou la suppression de l’avance de frais en indiquant les motifs de sa requête (cf. art. 29 al. 3 Cst. et 117 ss CPC).</w:t>
      </w:r>
    </w:p>
    <w:p>
      <w:r>
        <w:rPr>
          <w:b/>
        </w:rPr>
        <w:t>E. 6.3</w:t>
      </w:r>
    </w:p>
    <w:p>
      <w:r>
        <w:t>En l’occurrence, la Chambre patrimoniale cantonale a fixé l’avance de frais et requis son versement par les recourants conformément aux règles prévues par le CPC. Elle s’est en effet expressément fondée sur le tarif cantonal et les conclusions prises par S.________ et C.________ pour arrêter le montant de 129'805 fr. à titre d’avance de frais. Or, selon la jurisprudence susmentionnée, la garantie constitutionnelle de l’accès au juge n’exclut pas qu’une telle avance de frais soit exigée au demandeur. Par ailleurs, les recourants n’invoquent pas ni ne démontrent une situation financière délicate, de sorte qu’ils ne sauraient se prévaloir d’une telle situation pour justifier une réduction de l’avance de frais pour des raisons d’équité, comme le prévoit l’art. 10 TFJC. En tout état de cause, les intéressés sont disposés à verser une avance de frais de l’ordre de 100'000 fr., en lieu et place de la somme de 129'805 fr. demandée. La différence entre l’émolument requis et celui proposé par les recourants, d’environ 30'000 fr., n’apparaît pas démesurée et, partant, de nature à constituer une réelle entrave pour ces derniers. Partant, le grief tiré de la violation de l’art. 29a Cst. doit être écarté.</w:t>
      </w:r>
    </w:p>
    <w:p>
      <w:r>
        <w:rPr>
          <w:b/>
        </w:rPr>
        <w:t>E. 7</w:t>
      </w:r>
    </w:p>
    <w:p>
      <w:r>
        <w:t>En définitive, le recours doit être rejeté et la décision entreprise confirmée. Les frais judiciaires de deuxième instance, arrêtés à 600 fr. (art. 69 al. 1 et 70 al. 2 TFJC), doivent être mis à la charge des recourants, qui succombent (art. 106 al. 1 CPC), solidairement entre eux. Par ces motifs, la Chambre des recours civile du Tribunal cantonal, en application de l'art. 322 al. 1 CPC, prononce : I. Le recours est rejeté. II. La décision est confirmée. III. Les frais judiciaires de deuxième instance, arrêtés à 600 fr. (six cents francs), sont mis à la charge des recourants S.________ et C.________, solidairement entre eux. IV. L’arrêt est exécutoire. La présidente :               Le greffier : Du L'arrêt qui précède, dont la rédaction a été approuvée à huis clos, est notifié en expédition complète, par l'envoi de photocopies, à : - Mes Nicolas Rouiller et Bernard Haissly, avocats (pour S.________ et C.________).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