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791 vom 17. August 2017</w:t>
      </w:r>
    </w:p>
    <w:p>
      <w:r>
        <w:t>VD Tribunal cantonal, 2017-08-17, FR</w:t>
      </w:r>
    </w:p>
    <w:p>
      <w:r>
        <w:rPr>
          <w:b/>
        </w:rPr>
        <w:t xml:space="preserve">Quelle: </w:t>
      </w:r>
      <w:r>
        <w:t>https://mcp.opencaselaw.ch/entscheid/vd_findinfo_HC___2017___791</w:t>
      </w:r>
    </w:p>
    <w:p>
      <w:r>
        <w:t>FR: VD_FINDINFO HC / 2017 / 791 du 17 août 2017</w:t>
      </w:r>
    </w:p>
    <w:p>
      <w:r>
        <w:t>IT: VD_FINDINFO HC / 2017 / 791 del 17 agosto 2017</w:t>
      </w:r>
    </w:p>
    <w:p>
      <w:pPr>
        <w:pStyle w:val="Heading2"/>
      </w:pPr>
      <w:r>
        <w:t>Regeste</w:t>
      </w:r>
    </w:p>
    <w:p>
      <w:r>
        <w:t>RESTITUTION DU DÉLAI, EXPULSION DE LOCATAIRE, CAS CLAIR, PROCÉDURE SOMMAIRE | 257d CO, 148 CPC (CH)</w:t>
      </w:r>
    </w:p>
    <w:p>
      <w:pPr>
        <w:pStyle w:val="Heading2"/>
      </w:pPr>
      <w:r>
        <w:t>Erwägungen</w:t>
      </w:r>
    </w:p>
    <w:p>
      <w:r>
        <w:rPr>
          <w:b/>
        </w:rPr>
        <w:t>E. 1.1.1</w:t>
      </w:r>
    </w:p>
    <w:p>
      <w:r>
        <w:t>Lorsque le refus de restitution intervient après la clôture de la procédure et qu'il entraîne la perte définitive d'un droit matériel, il constitue une décision finale, qui peut faire l'objet d'un appel si la valeur litigieuse de 10'000 fr. est atteinte (ATF 139 III 478 consid. 6.3 et 7.3 ; cf. Carole Sonnenberg, Restitution et voies de recours, NewsletterBail.ch décembre 2013 ; TF 4A_343/2013 du 13 janvier 2014 consid. 5 ; TF 5A_964/2014 du 2 avril 2014 consid. 2.3, RSPC 2015 p. 315 note Dietschy). Tel est le cas d'un refus de restitution de délai pour ouvrir une procédure de conciliation, entraînant la perte définitive des moyens d'annulation de congé prévus aux art. 271-271a CO (ATF 139 III 478 consid. 6.3 et 7.3) ou d'un refus de restitution de délai pour contester une décision de dissolution d'une société pour défaut d'organes (TF_4A 260/2016 du 5 août 2016 consid. 1.1). Il incombe à l'appelant d'établir que le refus définitif de restitution entraînerait la perte définitive de son action (CACI 25 août 2014/448). En revanche, lorsque le refus de restitution n'entraîne pas la perte définitive de l'action ou du moyen de l'action, l'appel contre ce refus est irrecevable (CACI 8 juin 2015/289 ; CACI 6 février 2017/66). Lorsque la protection dans les cas clairs est accordée, elle aboutit à un jugement définitif et entré en force au sens matériel, qui empêche que l'affaire soit rejugée en raison du principe res iudicata (ATF 138 III 620 consid. 5 ; TF 4A_218/2017 du 14 juillet 2017 consid. 2.3).</w:t>
      </w:r>
    </w:p>
    <w:p>
      <w:r>
        <w:rPr>
          <w:b/>
        </w:rPr>
        <w:t>E. 1.1.2</w:t>
      </w:r>
    </w:p>
    <w:p>
      <w:r>
        <w:t>En l'espèce, la décision d'expulsion en cas clair rendue le 15 juin 2017, qui est définitive, jouit de l'autorité matérielle de la chose jugée et ne pourra plus être remise en cause. Le refus définitif de restitution entraîne ainsi la perte définitive des droits de l'appelant et constitue une décision finale.</w:t>
      </w:r>
    </w:p>
    <w:p>
      <w:r>
        <w:rPr>
          <w:b/>
        </w:rPr>
        <w:t>E. 1.2.1</w:t>
      </w:r>
    </w:p>
    <w:p>
      <w:r>
        <w:t>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pendant la durée prévisible d'un procès en procédure ordinaire permettant d'aboutir à un prononcé d'expulsion (TF 4D_79/2015 du 22 janvier 2016 consid. 1, RSPC 2016 p. 261 ; TF 4A_449/2014 du 19 novembre 2014 consid. 2;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CACI 17 mars 2015/129).</w:t>
      </w:r>
    </w:p>
    <w:p>
      <w:r>
        <w:rPr>
          <w:b/>
        </w:rPr>
        <w:t>E. 1.2.2</w:t>
      </w:r>
    </w:p>
    <w:p>
      <w:r>
        <w:t>En l'espèce, le loyer mensuel s'élevant à 1'300 fr., charges comprises, la valeur litigieuse est supérieure à 10'000 francs.</w:t>
      </w:r>
    </w:p>
    <w:p>
      <w:r>
        <w:rPr>
          <w:b/>
        </w:rPr>
        <w:t>E. 1.3</w:t>
      </w:r>
    </w:p>
    <w:p>
      <w:r>
        <w:t>Portant sur une décision finale dont la valeur litigieuse au dernier état des conclusions est supérieure à 10'000 fr. et déposé par une partie qui y a intérêt, l'appel est formellement recevable.</w:t>
      </w:r>
    </w:p>
    <w:p>
      <w:r>
        <w:rPr>
          <w:b/>
        </w:rPr>
        <w:t>E. 2.1</w:t>
      </w:r>
    </w:p>
    <w:p>
      <w:r>
        <w:t>En principe,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p. 383 et l'arrêt cité; JdT 2012 III 23). L'absence de conclusions en réforme ne fait, dans un tel cas, pas obstacle à l'entrée en matière sur le recours, qui sera rejeté si le moyen d'ordre formel est écarté (TF 5A_936/2013 du 8 juillet 2014 consid. 2.1.3). De même, lorsque l'appel est dirigé contre une décision de non-entrée en matière et que l'autorité d'appel ne pourra rendre une décision au fond, des conclusions en renvoi de la cause à l'autorité inférieure sont recevables (cf. TF 4A_241/2014 du 21 novembre 2014 consid. 1.2 et les réf. citées, ad art. 107 al. 2 LTF).</w:t>
      </w:r>
    </w:p>
    <w:p>
      <w:r>
        <w:rPr>
          <w:b/>
        </w:rPr>
        <w:t>E. 2.2</w:t>
      </w:r>
    </w:p>
    <w:p>
      <w:r>
        <w:t>En l'espèce, les conclusions en annulation et en renvoi de la cause pour décision sur le fond, dirigées contre une décision de non-entrée en matière, sont recevables.</w:t>
      </w:r>
    </w:p>
    <w:p>
      <w:r>
        <w:rPr>
          <w:b/>
        </w:rPr>
        <w:t>E. 3</w:t>
      </w:r>
    </w:p>
    <w:p>
      <w:r>
        <w:t>CPC et le seul fait que la procédure en cas clair soit soumise à la procédure sommaire ne justifie pas que l'art. 148 al. 3 CPC ne lui soit pas applicable. Aucun auteur de doctrine n'a soutenu l'exception retenue par le premier juge. La doctrine admet au contraire que les art. 142-149 CPC ont vocation générale et sont applicables à tous les délais de procédure que connaît le code ( Staehelin, in Sutter-Somm/Hasenböhler/Leuenberger [éds.], ZPO Kommentar, 3 e éd., 2016, n. 3 ad art. 142 CPC ; Hoffmann-Nowotny, Kurz Kommentar ZPO, 2 e éd., 2014, n. 3 rem. prél. ad art. 142-149 CPC). De même, la II e Cour d'appel civile du Tribunal cantonal du canton de Fribourg a expressément admis que l'art. 148 CPC, y compris l'art. 148 al. 3 CPC, était applicable à la procédure sommaire qui régit la procédure en cas clair (arrêt 102 2015 73 du 27 avril 2015 consid. la).</w:t>
      </w:r>
    </w:p>
    <w:p>
      <w:r>
        <w:rPr>
          <w:b/>
        </w:rPr>
        <w:t>E. 3.1</w:t>
      </w:r>
    </w:p>
    <w:p>
      <w:r>
        <w:t>Le premier juge a refusé d'entrer en matière sur la requête de restitution, au motif que l'art. 148 al. 3 CPC n'était pas applicable à la procédure d'expulsion en cas clair, dans la mesure où le délai absolu de six mois prévu par cette disposition ne semblait pas compatible avec le principe de la célérité voulu par cette procédure sommaire.</w:t>
      </w:r>
    </w:p>
    <w:p>
      <w:r>
        <w:rPr>
          <w:b/>
        </w:rPr>
        <w:t>E. 3.2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L'art. 148 CPC est situé dans la partie I du Code intitulée « dispositions générales », qui est applicable à toutes les procédures faisant l'objet de la partie spéciale, y compris la procédure sommaire. Ainsi, selon le Message du Conseil fédéral relatif au Code de procédure civile suisse du 28 juin 2006, l'ample « Partie générale », la moitié du code, comprend les dispositions applicables en principe à tous les types de procédure (FF 2006 p. 6858). Lorsqu'il est fait exception à des règles des dispositions générales pour certaines procédures, une telle exception est expressément prévue par le code. Ainsi, l'art. 145 al. 2 let. b CPC prévoit que la suspension des délais pendant les féries ne s'applique pas à la procédure sommaire. Une telle exception n'existe pas pour l'art. 148 al.</w:t>
      </w:r>
    </w:p>
    <w:p>
      <w:r>
        <w:rPr>
          <w:b/>
        </w:rPr>
        <w:t>E. 3.3</w:t>
      </w:r>
    </w:p>
    <w:p>
      <w:r>
        <w:t>En l’espèce, il n'y a pas lieu de s'écarter de la systématique de la loi, confirmée par la doctrine et la jurisprudence, qui prévoit l’application de l’art. 148 CPC à la procédure sommaire en matière de cas clair. C'est dès lors à tort que le premier juge a refusé d'entrer en matière sur la requête de restitution. Sa décision doit être annulée et la cause doit lui être renvoyée afin de statuer sur le fond de la requête. A cet égard, la Cour de céans ne saurait examiner elle-même le bien-fondé de cette requête, afin que le principe de la double instance soit respecté.</w:t>
      </w:r>
    </w:p>
    <w:p>
      <w:r>
        <w:rPr>
          <w:b/>
        </w:rPr>
        <w:t>E. 4.1</w:t>
      </w:r>
    </w:p>
    <w:p>
      <w:r>
        <w:t>En définitive, l’appel doit être admis, la décision entreprise annulée et la cause renvoyée au Juge de paix du district du Jura-Nord vaudois pour nouvelle décision dans le sens des considérants qui précèdent.</w:t>
      </w:r>
    </w:p>
    <w:p>
      <w:r>
        <w:rPr>
          <w:b/>
        </w:rPr>
        <w:t>E. 4.2</w:t>
      </w:r>
    </w:p>
    <w:p>
      <w:r>
        <w:t>Les frais judiciaires de deuxième instance, arrêtés à 400 fr. (art. 62 al. 3 et 69 TFJC [tarif des frais judiciaires civils du 28 septembre 2010 ; RSV 270.11.5]), seront mis à la charge de l'intimé, qui succombe (art. 106 al. 1 CPC).</w:t>
      </w:r>
    </w:p>
    <w:p>
      <w:r>
        <w:rPr>
          <w:b/>
        </w:rPr>
        <w:t>E. 4.3</w:t>
      </w:r>
    </w:p>
    <w:p>
      <w:r>
        <w:t>Me Raphaël Mahaim, conseil d’office de l’appelante, a indiqué dans sa liste d'opérations avoir consacré 5,5 heures au dossier, ce qui peut être admis. Au tarif horaire de 180 fr., l’indemnité de Me Mahaim doit donc être fixée à 990 fr., montant auquel s'ajoutent les débours, que l’on peut arrêter à 10 fr. au vu des opérations effectuées, et la TVA sur le tout, par 80 fr., soit 1'080 fr. au total.</w:t>
      </w:r>
    </w:p>
    <w:p>
      <w:r>
        <w:rPr>
          <w:b/>
        </w:rPr>
        <w:t>E. 4.4</w:t>
      </w:r>
    </w:p>
    <w:p>
      <w:r>
        <w:t>Dans la mesure de l’art. 123 CPC, la bénéficiaire de l’assistance judiciaire est tenue au remboursement de l’indemnité à son conseil d’office mise à la charge de l’Etat.</w:t>
      </w:r>
    </w:p>
    <w:p>
      <w:r>
        <w:rPr>
          <w:b/>
        </w:rPr>
        <w:t>E. 4.5</w:t>
      </w:r>
    </w:p>
    <w:p>
      <w:r>
        <w:t>Vu l’issue du litige, l’appelante a droit à de pleins dépens pour l’intervention de son conseil. Ces dépens seront arrêtés, compte tenu de l’importance de la cause, de ses difficultés, de l’ampleur du travail et du temps consacré à cette procédure (art. 3 TDC [tarif des dépens en matière civile du 23 novembre 2010 ; RSV 270.11.6]), à 1’200 fr. (art. 7 TDC). Le conseil d’office de l’intimé pourra être rémunéré par l’Etat (cf. consid. 4.3 supra) si le montant des dépens ne peut être obtenu de la partie adverse (art.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