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759 vom 10. Juli 2017</w:t>
      </w:r>
    </w:p>
    <w:p>
      <w:r>
        <w:t>VD Tribunal cantonal, 2017-07-10, FR</w:t>
      </w:r>
    </w:p>
    <w:p>
      <w:r>
        <w:rPr>
          <w:b/>
        </w:rPr>
        <w:t xml:space="preserve">Quelle: </w:t>
      </w:r>
      <w:r>
        <w:t>https://mcp.opencaselaw.ch/entscheid/vd_findinfo_HC___2017___759</w:t>
      </w:r>
    </w:p>
    <w:p>
      <w:r>
        <w:t>FR: VD_FINDINFO HC / 2017 / 759 du 10 juillet 2017</w:t>
      </w:r>
    </w:p>
    <w:p>
      <w:r>
        <w:t>IT: VD_FINDINFO HC / 2017 / 759 del 10 luglio 2017</w:t>
      </w:r>
    </w:p>
    <w:p>
      <w:pPr>
        <w:pStyle w:val="Heading2"/>
      </w:pPr>
      <w:r>
        <w:t>Regeste</w:t>
      </w:r>
    </w:p>
    <w:p>
      <w:r>
        <w:t>FRAIS D'EXPERTISE, OBLIGATION DE CHIFFRER LES CONCLUSIONS, REJET DE LA DEMANDE | 184 al. 3 CPC (CH), 319 let. b ch. 1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lesquelles sont soumises au délai de recours applicable à la procédure au fond (Jeandin, op. cit., n. 10 ad art. 321 CPC). La décision entreprise a été rendue dans le cadre d'une procédure en divorce ouverte par demande unilatérale. La procédure ordinaire s'applique et le délai de recours est ainsi de trente jours (art. 321 al. 1 CPC). Le recours, écrit et motivé, est introduit auprès de l'instance de recours, soit la Chambre des recours civile (art. 73 LOJV [loi d'organisation judiciaire du 12 décembre 1979 ; RSV 173.01]).</w:t>
      </w:r>
    </w:p>
    <w:p>
      <w:r>
        <w:rPr>
          <w:b/>
        </w:rPr>
        <w:t>E. 1.2</w:t>
      </w:r>
    </w:p>
    <w:p>
      <w:r>
        <w:t>Nonobstant le silence de la loi sur ce point, l’acte de recours doit en outre contenir, sous peine d’irrecevabilité, des conclusions en annulation ou au fond (Jeandin, op. cit., n. 5 ad art. 321 CPC), soit l’exposé de ce que la partie veut que le tribunal lui alloue dans sa décision (Tappy, CPC commenté, Bâle 2011, n. 11 ad art. 221 CPC). En particulier, le recours doit contenir des conclusions chiffrées s’agissant de conclusions pécuniaires (TF 4A_35/2015 du 12 juin 2015 consid. 3.2 ; 4A_579/2013 du 17 février 2014 consid. 4). Il ne saurait être remédié à des conclusions déficientes par la fixation d’un délai selon l’art.  132 CPC, un tel vice n’étant pas d’ordre purement formel et affectant l’appel de façon irréparable (ATF 137 III 617, SJ 2012 I 373 et JdT 2014 II 187 ; TF 375/2015 du 26 janvier 2016 consid. 7.2 ; CREC 16 mars 2015/119 ; Jeandin, op. cit., n. 4 ad art. 321 CPC). En l’espèce, le recourant n’a pas pris de conclusions en annulation explicites ni de conclusions chiffrées au pied de son recours. Néanmoins, l’on comprend implicitement que le recourant estime le montant de 2'160 fr. dû à titre d’honoraires de l’expert pour le rapport complémentaire inacceptable et qu’il refuse de payer ce montant, interprétation qui ressort d’ailleurs clairement de la lettre qu’il avait adressée au premier juge le 25 avril 2017 à cet égard.</w:t>
      </w:r>
    </w:p>
    <w:p>
      <w:r>
        <w:rPr>
          <w:b/>
        </w:rPr>
        <w:t>E. 1.3</w:t>
      </w:r>
    </w:p>
    <w:p>
      <w:r>
        <w:t>Compte tenu de ce qui précède, le recours, écrit et motivé, a été déposé en temps utile par une personne qui y a un intérêt digne de protection (art. 59 al. 2 CPC). Il est par conséquent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26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2 e éd., Berne 2014, n. 27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(TF 4P.160/2005 du 17 octobre 2005 consid. 4.1 ; ATF 129 I 8 consid. 2.1). Saisie d'un recours fondé sur l'art. 184 al. 3 CPC, la Chambre de céans examine avec retenue la fixation des honoraires de l'expert telle qu'effectuée par le premier juge. La décision du premier juge doit donc être examinée sous l'angle d'un éventuel abus du pouvoir d'appréciation. L'appréciation des honoraires et débours de l'expert ne peut être réformée que lorsque la décision du premier juge apparaît arbitraire et manifestement mal fondée (CREC du 27 juin 2014/221 consid. 2.1 et les arrêts CREC cités).</w:t>
      </w:r>
    </w:p>
    <w:p>
      <w:r>
        <w:rPr>
          <w:b/>
        </w:rPr>
        <w:t>E. 3</w:t>
      </w:r>
    </w:p>
    <w:p>
      <w:r>
        <w:t>Le recourant fait valoir que le montant de 2'160 fr., TVA comprise, serait excessif pour un rapport complémentaire de quatre pages au format A4 et serait injustifié. En outre, le fait, selon lequel il aurait compliqué la mission de l’expert, serait inexact, puisqu’il aurait fourni, sans problème, toutes les pièces requises. Partant, le prononcé querellé serait caduque.</w:t>
      </w:r>
    </w:p>
    <w:p>
      <w:r>
        <w:rPr>
          <w:b/>
        </w:rPr>
        <w:t>E. 4</w:t>
      </w:r>
    </w:p>
    <w:p>
      <w:r>
        <w:t>Le recourant se méprend lorsqu’il réfute avoir compliqué la mission de l’expert. Alors qu’il était encore assisté, l’expert a requis le 4 août 2016 un certain nombre de pièces à son avocate. Ce courrier n’a pas reçu de réponse. Par courrier du 13 septembre 2016, l’expert a relancé le conseil du recourant. Toujours en l’absence de réponse, l’expert s’est plaint de cette situation auprès de la Présidente du Tribunal d’arrondissement par courrier du 29 septembre 2016 et a été contraint de requérir une prolongation de délai pour déposer le rapport complémentaire. Dans le sens de la demande de l’expert, le premier juge est intervenu auprès des parties le 6 octobre 2016 en s’adressant au conseil du recourant et à celui-ci, qui a reçu la lettre personnellement. Le 27 octobre 2016, le conseil du recourant confirmait que son mandat avait pris fin, que son mandant ne lui avait pas demandé de restituer son dossier et qu’aucun de ses confrères ne l’avait informé reprendre le mandat. Finalement, l’expert a pu déposer son complément d’expertise le 22 décembre 2016. Sur ces bases, il n’était pas arbitraire, de la part du premier juge, de retenir que le recourant n’avait pas fourni les pièces requises et que ce manque de diligence avait compliqué la mission de l’expert. Ce dernier avait d’ailleurs averti le magistrat, dans son courrier du 8 mars 2016, qu’une telle attitude « n’aurait évidemment pas pour effet d’alléger les coûts » de son travail. Par conséquent, le fait retenu par le premier juge est exact et l’appréciation qui en est déduite est correcte.</w:t>
      </w:r>
    </w:p>
    <w:p>
      <w:r>
        <w:rPr>
          <w:b/>
        </w:rPr>
        <w:t>E. 5.1</w:t>
      </w:r>
    </w:p>
    <w:p>
      <w:r>
        <w:t>Selon le recourant, la note d’honoraires du 19 avril 2017 ne serait pas suffisamment détaillée, l’expert s’étant borné à facturer en bloc pour « Diverses activités dans le dossier – complément d’expertise ».</w:t>
      </w:r>
    </w:p>
    <w:p>
      <w:r>
        <w:rPr>
          <w:b/>
        </w:rPr>
        <w:t>E. 5.2</w:t>
      </w:r>
    </w:p>
    <w:p>
      <w:r>
        <w:t>Selon l'art. 184 al. 3 CPC, l'expert a droit à une rémunération qui fait partie des frais d'administration des preuves (art. 95 al. 2 let. c CPC ; Gasser/Rickli, ZPO Kurzkommentar, 2 e éd., 2014, n. 2 ad art. 184 ; Tappy, op. cit., n. 16 ad art. 95 CPC). La rémunération peut être fixée selon des critères de droit cantonal (Dolge, Basler Kommentar ZPO, 2 e éd., Bâle 2013, n. 9 ad art. 284 CPC ; Schmid, ZPO Kurzkommentar, 2 e éd., 2014, n. 5 ad art. 184 CPC). A défaut, le montant de la rémunération de l'expert est fixé conventionnellement entre le juge et l'expert, de manière forfaitaire ou en fonction d'un salaire horaire et, en l'absence de convention, selon l'usage (art. 394 al. 3 CO [Code des obligations du 30 mars 1911 ; RS 220] ; Dolge, op. cit., n. 10 ad art. 184 CPC ; Schmid, op. cit., n. 4 ad art. 184 CPC). Le travail de l'expert superflu ou sans lien avec sa mission ne doit pas être rémunéré (Dolge, op. cit., n. 10 ad art. 184 CPC). Le droit vaudois prévoit à l'art. 91 al. 1 TFJC (tarif des frais judiciaires civils du 28 septembre 2010 ; RSV 270.11.5) que le juge arrête le montant des honoraires et frais d'experts, en appliquant, le cas échéant, les tarifs officiels. Un tel tarif n'existe pas en droit vaudois. La jurisprudence en matière de modération de notes d’avocats admet l’application d’un tarif horaire de l’ordre de 350 fr. (CMOD, [...] c. [...], 6 juin 2005), en relevant qu’une étude menée en 1993 dans le canton de Vaud démontrait un tarif usuel de 330 fr. (J.-M. Reymond, Honoraires et concurrence, in L’avocat moderne, Mélanges publiés par l’Ordre des avocats vaudois à l’occasion de son centenaire, pp. 21 ss, spéc. p. 29). Un tarif supérieur peut être justifié en raison de l’expérience de l’avocat, de la difficulté de l’affaire et de la valeur litigieuse (CMOD, [...] c. [...], 18 décembre 2003 : tarif de 400 fr., les trois critères étant réalisés). Ces principes peuvent être appliqués en matière d’honoraires de notaires (CMOD, arrêt du 5 octobre 2005/13). Si l’on se fonde sur le tarif des dépens pénaux qui, contrairement au tarif des dépens civils, fixe un taux horaire de l’avocat (art. 26a TFJP [tarif des frais de procédure et indemnités en matière pénale du 28 septembre 2010 ; RSV 312.03.1] : entre 250 fr. et 350 fr. l’heure, voire 400 fr. l’heure), la jurisprudence de la Cour de modération, certes relativement ancienne, conserve toute son actualité.</w:t>
      </w:r>
    </w:p>
    <w:p>
      <w:r>
        <w:rPr>
          <w:b/>
        </w:rPr>
        <w:t>E. 5.3</w:t>
      </w:r>
    </w:p>
    <w:p>
      <w:r>
        <w:t>Ainsi, en l’occurrence, en s’en tenant à un tarif horaire de 350 fr., le notaire Yvan Leupin a consacré moins de six heures (2'000 fr. / 350 fr.) pour rendre un rapport d’expertise complémentaire à l’effet de liquider le régime matrimonial des époux avec calcul des propres et des acquêts. Le rapport est certes succinct mais cela ne signifie pas pour autant qu’il reflète l’intégralité du travail du notaire (tels que recherches et calculs). De plus, la tâche de l’expert s’est compliquée en raison de la difficulté d’obtenir des pièces de la part du recourant. Au demeurant, le recourant ne démontre pas en quoi le montant des honoraires ne correspondrait pas au travail accompli par l’expert. Quant au grief du recourant selon lequel les montants et calculs retenus dans le rapport complémentaire seraient erronés, il relève du fond et ne saurait être l’objet du présent recours.</w:t>
      </w:r>
    </w:p>
    <w:p>
      <w:r>
        <w:rPr>
          <w:b/>
        </w:rPr>
        <w:t>E. 6</w:t>
      </w:r>
    </w:p>
    <w:p>
      <w:r>
        <w:t>En définitive, l’appréciation du premier juge doit être confirmée et le recours rejeté selon le mode procédural de l’art. 322 al. 1 CPC.</w:t>
      </w:r>
    </w:p>
    <w:p>
      <w:r>
        <w:rPr>
          <w:b/>
        </w:rPr>
        <w:t>E. 7</w:t>
      </w:r>
    </w:p>
    <w:p>
      <w:r>
        <w:t>Les frais judiciaires de deuxième instance, arrêtés à 200 fr. (art. TFJC [tarif des frais judiciaires civils du 28 septembre 2010 ; RSV 270.11.5]), seront mis à la charge du recourant qui succombe (art. 106 al. 1 CPC). L’intimée et l’expert n’ayant pas été invités à se déterminer, il n’y a pas lieu de leur allouer des dépens. Par ces motifs, la Chambre des recours civile du Tribunal cantonal, prononce : I. Le recours est rejeté, dans la mesure de sa recevabilité. II. Le prononcé est confirmé. III. Les frais judiciaires de deuxième instance, arrêtés à 200 fr. (deux cents francs), sont mis à la charge de A.T.________. IV. L’arrêt est exécutoire. La présidente : La greffière : Du L'arrêt qui précède, dont la rédaction a été approuvée à huis clos, est notifié à : ‑ M. A.T.________, ‑ Me Christophe Misteli, av. (pour B.T.________), et - M. Yvan Leupin. La Chambre des recours civile considère que la valeur litigieuse est de 2’160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