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693 vom 15. Mai 2017</w:t>
      </w:r>
    </w:p>
    <w:p>
      <w:r>
        <w:t>VD Tribunal cantonal, 2017-05-15, FR</w:t>
      </w:r>
    </w:p>
    <w:p>
      <w:r>
        <w:rPr>
          <w:b/>
        </w:rPr>
        <w:t xml:space="preserve">Quelle: </w:t>
      </w:r>
      <w:r>
        <w:t>https://mcp.opencaselaw.ch/entscheid/vd_findinfo_HC___2017___693</w:t>
      </w:r>
    </w:p>
    <w:p>
      <w:r>
        <w:t>FR: VD_FINDINFO HC / 2017 / 693 du 15 mai 2017</w:t>
      </w:r>
    </w:p>
    <w:p>
      <w:r>
        <w:t>IT: VD_FINDINFO HC / 2017 / 693 del 15 maggio 2017</w:t>
      </w:r>
    </w:p>
    <w:p>
      <w:pPr>
        <w:pStyle w:val="Heading2"/>
      </w:pPr>
      <w:r>
        <w:t>Regeste</w:t>
      </w:r>
    </w:p>
    <w:p>
      <w:r>
        <w:t>EXPERT, RÉCUSATION, DROIT D'ÊTRE ENTENDU | 183 al. 2 CPC (CH), 47 al. 1 let. f CPC (CH), 50 al. 2 CPC (CH)</w:t>
      </w:r>
    </w:p>
    <w:p>
      <w:pPr>
        <w:pStyle w:val="Heading2"/>
      </w:pPr>
      <w:r>
        <w:t>Erwägungen</w:t>
      </w:r>
    </w:p>
    <w:p>
      <w:r>
        <w:rPr>
          <w:b/>
        </w:rPr>
        <w:t>E. 1</w:t>
      </w:r>
    </w:p>
    <w:p>
      <w:r>
        <w:t>CPC contre les décisions sur demande de récusation. La Chambre des recours civile statue en pareille hypothèse (art. 8a al. 7 CDPJ [Code de droit privé judiciaire vaudois du 12 janvier 2010 ; RSV 211.02] et 73 al. 1 LOJV [loi vaudoise du 12 septembre 1979 d'organisation judiciaire ; RSV 173.01]). Le délai de recours contre une ordonnance d’instruction est de dix jours à compter du lendemain de la notification de la décision (art. 142 al. 1 et 321 al. 2 CPC). En l’espèce, le recours a été déposé en temps utile par une partie qui y a intérêt (art. 59 al. 2 let. a CPC), de sorte qu’il est recevable en tant qu’il est dirigé contre le rejet de la demande de récusation, le premier juge s’étant expressément prononcé sur les griefs invoqués par la recourante à ce sujet dans le cadre de la décision de mise en œuvre de l’expertise.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La recourante fait valoir que l’expert désigné par le premier juge ne présenterait pas des garanties d’impartialité suffisantes, car cet expert aurait eu des contacts avec les autres parties et serait lié à elles par une convention, alors même que la recourante aurait été exclue de ces contacts préalables. Elle soutient également que le premier juge aurait retenu de façon arbitraire que l’assureur de la recourante aurait accepté la désignation de cet expert et que la recourante elle-même aurait appuyé ce choix dans le cadre de la recherche d’un expert privé.</w:t>
      </w:r>
    </w:p>
    <w:p>
      <w:r>
        <w:rPr>
          <w:b/>
        </w:rPr>
        <w:t>E. 3.2</w:t>
      </w:r>
    </w:p>
    <w:p>
      <w:r>
        <w:t>Selon l’art. 183 al. 2 CPC, les motifs de récusation des magistrats et des fonctionnaires judiciaires sont applicables aux experts, qui dans l'accomplissement de leur mission doivent présenter les mêmes garanties d'impartialité et d'indépendance (Schweizer, CPC commenté, 2011, n. 16 ad art. 183 CPC). Cette disposition renvoie ainsi aux art. 47 à 51 CPC, les motifs de récusation étant appréhendés à l'art. 47 CPC. Parmi les motifs de récusation, seul celui visé à l'art. 47 al. 1 let. f CPC est éventuellement pertinent dans le cas d'espèce. En application de cette disposition, doit se récuser le magistrat, le fonctionnaire judiciaire, ou, en l'occurrence, l'expert, lorsqu'il pourrait être prévenu de toute autre manière, notamment en raison d'un rapport d'amitié ou d'inimitié avec une partie ou son représentant. Cette disposition n'est qu'exemplative et vise en réalité toute circonstance qui pourrait objectivement remettre en doute l'impartialité du magistrat, du fonctionnaire judiciaire ou de l'expert concerné. Elle concrétise les garanties découlant des art. 30 al. 1 Cst. (Constitution fédérale de la Confédération suisse du 18 avril 1999 ; RS 101) et 6 § 1 CEDH (Convention du 4 novembre 1954 de sauvegarde des droits de l'homme et des libertés fondamentales ; RS 0.101). Certes, dès lors que l'expert ne fait pas partie du tribunal, sa récusation ne s'examine pas au regard de l'art. 30 al. 1 Cst. mais sous l'angle de l'art. 29 al. 1 Cst. garantissant l'équité du procès (ATF 125 II 541 consid. 4a). S'agissant des exigences d'impartialité et d'indépendance requises d'un expert, cette disposition assure toutefois au justiciable une protection équivalente à celle de l'art. 30 al. 1 Cst. (ATF 127 I 196 consid. 2b), qui a, de ce point de vue, la même portée que l'art. 6 § 1 CEDH (ATF 134 I 20 consid. 4.2 ; ATF 138 I 1 consid. 2.2). La jurisprudence rendue en application de cette norme reste ainsi pertinente (TF 4A_3/2012 du 27 juin 2012 consid. 2.3 ; TF 5A_109/2012 du 3 mai 2012 consid. 3.1).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138 I 1 consid. 2.2 ; ATF 137 I 227 consid. 2.1 ; ATF 136 III 605 consid. 3.2.1 ; ATF 136 1207 consid. 3.1 ; ATF 134 I 20 consid. 4.2).</w:t>
      </w:r>
    </w:p>
    <w:p>
      <w:r>
        <w:rPr>
          <w:b/>
        </w:rPr>
        <w:t>E. 3.3</w:t>
      </w:r>
    </w:p>
    <w:p>
      <w:r>
        <w:t>En l’espèce, contrairement aux affirmations de la recourante, il résulte bien d’un courrier du 30 novembre 2015 de l’assureur de la recourante que son représentant considère judicieux de désigner M. [...] comme expert privé « de manière à limiter les frais et simplifier la procédure ». Il n’était par conséquent pas arbitraire pour le premier juge de considérer que la recourante avait accepté l’intervention de cet expert, voire avait appuyé ce choix dans le cadre d’une expertise privée. Il n’y a donc aucune appréciation arbitraire des preuves. [ C’est également en vain que la recourante fait grand cas des liens contractuels qui uniraient les autres parties à l'expert. Il s'agit en réalité d'une convention d'expertise et de preuve à futur conclue dans un premier temps entre les parties au litige, à l'exception de la recourante, prévoyant de toute manière que le maître de l'ouvrage devra déposer une requête de preuve à futur devant l'autorité compétente. Non seulement l'expert pressenti dans le cadre de cette convention y affirmait agir en toute impartialité, mais l'autorité judiciaire, qui devait de toute manière être saisie, allait vérifier dans le cadre de la procédure de mise en œuvre que l'expert désigné présenterait une telle impartialité. Cette procédure de mise en œuvre a d'ailleurs permis de modifier la formulation de certaines questions soumises à l'expert, ce qui démontre encore, si nécessaire, que rien dans le déroulement des faits ayant abouti à la désignation de l'expert retenu par le premier juge ne présente d'apparence objective de prévention. Lorsque la recourante soutient qu'elle a été tenue à l'écart du choix de l'expert, elle ne fait part que d'une impression subjective qui n'est pas pertinente. Rien dans le comportement de l'expert désigné ne permet de douter de son impartialité et le fait qu'il ait été contacté dans un premier temps par certaines parties, car il était pressenti comme expert privé, ne permet pas d'en douter. Les circonstances objectives de son intervention ne font donc pas redouter une éventuelle partialité. C’est donc à juste titre que le premier juge a écarté la demande de récusation.</w:t>
      </w:r>
    </w:p>
    <w:p>
      <w:r>
        <w:rPr>
          <w:b/>
        </w:rPr>
        <w:t>E. 4</w:t>
      </w:r>
    </w:p>
    <w:p>
      <w:r>
        <w:t>La recourante soutient en dernier lieu que son droit d’être entendu aurait été violé à plusieurs reprises par le juge de paix. Ces moyens relevant de la violation du droit d'être entendu doivent être également rejetés pour les motifs qui suivent. L'absence d'indication de voies de droit au pied de la décision est réparée par le fait que la recourante a interjeté recours en temps utile. La recourante se méprend également lorsqu'elle affirme que le premier juge n'aurait pas transmis aux parties les déterminations de l'expert, car ces déterminations au sujet de l'absence de motif de récusation sont contenues dans la convention d'expertise et de preuve à futur passée entre les 13 juillet et 4 août 2016. Ce document étant connu de la recourante, il n’y a pas ici non plus violation de son droit d’être entendu. Enfin, contrairement aux affirmations de la recourante, le choix de l’expert a été motivé. Il fait l'objet de plusieurs considérants des douze pages que représente la décision attaquée, en particulier en page 7.</w:t>
      </w:r>
    </w:p>
    <w:p>
      <w:r>
        <w:rPr>
          <w:b/>
        </w:rPr>
        <w:t>E. 5</w:t>
      </w:r>
    </w:p>
    <w:p>
      <w:r>
        <w:t>Pour ces motifs, le recours doit être rejeté selon le mode procédural de l’art. 322 al. 1 CPC et la décision attaquée confirmée. Les frais judiciaires de deuxième instance, arrêtés à 1'200 fr. (art. 69 al. 1 TFJC [tarif du 28 septembre 2010 des frais judiciaires civils ; RSV 270.11.5]), sont mis à la charge de la recourante, qui succombe (art. 106 al. 1 CPC). Les intimées au recours n’ayant pas été invitées à se déterminer, il n’y a pas lieu à l’allocation de dépens. Par ces motifs, la Chambre des recours civile du Tribunal cantonal, en application de l'art. 322 al. 1 CPC, prononce : I. Le recours est rejeté. II. La décision est confirmée. III. Les frais judiciaires de deuxième instance, arrêtés à 1'200 fr. (mille deux cents francs), sont mis à la charge de la recourante Q.________ SA. IV. L’arrêt est exécutoire. La présidente :               La greffière : Du L'arrêt qui précède, dont la rédaction a été approuvée à huis clos, est notifié à : ‑ Me Daniel Pache (pour Q.________ SA), ‑ Me Benoît Bovay (pour F.________ SA), - Me Jean-Yves Hauser (pour E.________ SA), - Me Nicolas Blanc (pour L.________ SA), - R.________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