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2017 / 685 vom 4. Juli 2017</w:t>
      </w:r>
    </w:p>
    <w:p>
      <w:r>
        <w:t>VD Tribunal cantonal, 2017-07-04, FR</w:t>
      </w:r>
    </w:p>
    <w:p>
      <w:r>
        <w:rPr>
          <w:b/>
        </w:rPr>
        <w:t xml:space="preserve">Quelle: </w:t>
      </w:r>
      <w:r>
        <w:t>https://mcp.opencaselaw.ch/entscheid/vd_findinfo_HC___2017___685</w:t>
      </w:r>
    </w:p>
    <w:p>
      <w:r>
        <w:t>FR: VD_FINDINFO HC / 2017 / 685 du 4 juillet 2017</w:t>
      </w:r>
    </w:p>
    <w:p>
      <w:r>
        <w:t>IT: VD_FINDINFO HC / 2017 / 685 del 4 luglio 2017</w:t>
      </w:r>
    </w:p>
    <w:p>
      <w:pPr>
        <w:pStyle w:val="Heading2"/>
      </w:pPr>
      <w:r>
        <w:t>Regeste</w:t>
      </w:r>
    </w:p>
    <w:p>
      <w:r>
        <w:t>RÉSILIATION ANTICIPÉE, DEMEURE DU DÉBITEUR, BAIL À LOYER, COMPENSATION DE CRÉANCES, DÉFAUT DE LA CHOSE | 120 CO, 257d CO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l’appel doit être admis en ce sens que la requête en cas clair doit être déclarée irrecevable. Les frais judiciaires de première instance seront ainsi mis à la charge de la partie bailleresse. Les frais judiciaires de deuxième instance, fixés à 708 fr. (art. 62 al. 1 et 3 TFJC [Tarif des frais judiciaires civils du 28 septembre 2010 ; RSV 270.11.5]), seront mis à la charge de l’intimé V.________, qui succombe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