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64 vom 20. Januar 2017</w:t>
      </w:r>
    </w:p>
    <w:p>
      <w:r>
        <w:t>VD Tribunal cantonal, 2017-01-20, FR</w:t>
      </w:r>
    </w:p>
    <w:p>
      <w:r>
        <w:rPr>
          <w:b/>
        </w:rPr>
        <w:t xml:space="preserve">Quelle: </w:t>
      </w:r>
      <w:r>
        <w:t>https://mcp.opencaselaw.ch/entscheid/vd_findinfo_HC___2017___64</w:t>
      </w:r>
    </w:p>
    <w:p>
      <w:r>
        <w:t>FR: VD_FINDINFO HC / 2017 / 64 du 20 janvier 2017</w:t>
      </w:r>
    </w:p>
    <w:p>
      <w:r>
        <w:t>IT: VD_FINDINFO HC / 2017 / 64 del 20 gennaio 2017</w:t>
      </w:r>
    </w:p>
    <w:p>
      <w:pPr>
        <w:pStyle w:val="Heading2"/>
      </w:pPr>
      <w:r>
        <w:t>Regeste</w:t>
      </w:r>
    </w:p>
    <w:p>
      <w:r>
        <w:t>DÉTENTION AUX FINS D'EXPULSION, RENVOI{DROIT DES ÉTRANGERS}, ÉTAT DE SANTÉ | 76 al. 1 LEtr, 80 al. 6 let. a LEtr</w:t>
      </w:r>
    </w:p>
    <w:p>
      <w:pPr>
        <w:pStyle w:val="Heading2"/>
      </w:pPr>
      <w:r>
        <w:t>Erwägungen</w:t>
      </w:r>
    </w:p>
    <w:p>
      <w:r>
        <w:rPr>
          <w:b/>
        </w:rPr>
        <w:t>E. 1</w:t>
      </w:r>
    </w:p>
    <w:p>
      <w:r>
        <w:t>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rPr>
          <w:b/>
        </w:rPr>
        <w:t>E. 2</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10 mars 2016/86 ; CREC 25 septembre 2015/346).</w:t>
      </w:r>
    </w:p>
    <w:p>
      <w:r>
        <w:rPr>
          <w:b/>
        </w:rPr>
        <w:t>E. 3.1</w:t>
      </w:r>
    </w:p>
    <w:p>
      <w:r>
        <w:t>En premier lieu, le recourant conteste être de nationalité géorgienne, comme cela est retenu par l’ordonnance entreprise. A cet égard, il demande que le SEM soit invité à préciser ce qu’il en est sur la base des enquêtes qui auraient été entreprises à l’époque par l’Office fédéral des migrations.</w:t>
      </w:r>
    </w:p>
    <w:p>
      <w:r>
        <w:rPr>
          <w:b/>
        </w:rPr>
        <w:t>E. 3.2</w:t>
      </w:r>
    </w:p>
    <w:p>
      <w:r>
        <w:t>En l’espèce, aucune suite ne sera donnée à cette requête dans la mesure où son résultat n’est pas en mesure d’invalider la décision du SEM du 3 septembre 2015, aujourd’hui définitive et exécutoire, puisqu’elle a été confirmée par arrêt du 25 septembre 2015 du Tribunal administratif fédéral. Par ailleurs, le renvoi de l’intéressé a été ordonné vers l’Etat Dublin responsable, soit l’Allemagne et non la Géorgie.</w:t>
      </w:r>
    </w:p>
    <w:p>
      <w:r>
        <w:rPr>
          <w:b/>
        </w:rPr>
        <w:t>E. 3.3</w:t>
      </w:r>
    </w:p>
    <w:p>
      <w:r>
        <w:t>Le recourant conteste son renvoi en Allemagne en expliquant que lors de l’un de ses séjours dans ce pays, il y aurait été abordé par des ressortissants tchétchènes qui auraient tenté de le recruter afin qu’il rejoigne les rangs de Daech ou d’organisations similaires. Ces arguments ayant été rejetés tant par le SEM que par le Tribunal administratif fédéral en 2015, ils ne sauraient être considérés comme des faits nouveaux au stade du recours. L’argumentation du recourant apparaît dès lors infondée sur ce point.</w:t>
      </w:r>
    </w:p>
    <w:p>
      <w:r>
        <w:rPr>
          <w:b/>
        </w:rPr>
        <w:t>E. 4.1</w:t>
      </w:r>
    </w:p>
    <w:p>
      <w:r>
        <w:t>Le recourant relève que s’il a effectivement été condamné à plusieurs reprises par la justice pénale, aucune des peines qui lui ont été infligées n’a excédé quelques jours ou quelques mois de prison. Il avance également que la dernière ordonnance le condamnant a été frappée d’opposition et que le procureur en charge du dossier lui aurait annoncé qu’il allait réduire sa sanction.</w:t>
      </w:r>
    </w:p>
    <w:p>
      <w:r>
        <w:rPr>
          <w:b/>
        </w:rPr>
        <w:t>E. 4.2</w:t>
      </w:r>
    </w:p>
    <w:p>
      <w:r>
        <w:t>En l’espèce, les arguments du recourant ne sont pas convaincants dans la mesure où, indépendamment de la décision sur opposition à venir, il est patent que le recourant est un multirécidiviste, qui a été condamné à huit reprises, dont le comportement est à même de menacer sérieusement d’autres personnes. Il n’y a dès lors pas lieu de donner suite à la réquisition du recourant tendant à l’interpellation du procureur afin qu’il rende sa décision prochainement.</w:t>
      </w:r>
    </w:p>
    <w:p>
      <w:r>
        <w:rPr>
          <w:b/>
        </w:rPr>
        <w:t>E. 5.1</w:t>
      </w:r>
    </w:p>
    <w:p>
      <w:r>
        <w:t>Enfin, le recourant fait valoir un état de santé déficient, à savoir qu’il souffre de vives douleurs aux extrémités des doigts de la main, affection qui n’a pas pu être diagnostiquée et qui résulterait d’une arrestation à [...] par les forces de l’ordre. Il prétend que son renvoi de Suisse, alors que cette affection présente une intensité jamais atteinte à ce jour, constituerait un traitement inhumain et dégradant. Il fait valoir qu’il s’agit d’un élément nouveau qui justifierait un réexamen de la décision d’exécution du renvoi.</w:t>
      </w:r>
    </w:p>
    <w:p>
      <w:r>
        <w:rPr>
          <w:b/>
        </w:rPr>
        <w:t>E. 5.2</w:t>
      </w:r>
    </w:p>
    <w:p>
      <w:r>
        <w:t>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2C_756/2009 du 15 décembre 2009 consid. 2.2). L'art. 26 al. 3 let. b de la loi fédérale du 20 mars 2008 sur l'usage de la contrainte (LUsC ; RS 364) impose la m ise en œuvre d'un examen médical avant le départ lorsque l'état de la personne laisse supposer des problèmes de santé. L'art. 18 de l'ordonnance fédérale sur l'usage de la contrainte (OLUsC ; RS 364.3) dispose que l'autorité qui ordonne le transport et l'organe d'exécution déterminent l'aptitude de la personne concernée à être transportée. Le médecin peut fixer des conditions au transport. Celles-ci sont mentionnées dans le formulaire de transport.</w:t>
      </w:r>
    </w:p>
    <w:p>
      <w:r>
        <w:rPr>
          <w:b/>
        </w:rPr>
        <w:t>E. 5.3</w:t>
      </w:r>
    </w:p>
    <w:p>
      <w:r>
        <w:t>En l’espèce, le recourant avait déjà invoqué des problèmes de santé devant le SEM ; il s’agissait alors de problèmes de mémoire et de maux de tête. Or, il importe peu qu’il invoque aujourd’hui des problèmes de santé différents, puisque de l’aveu même du recourant, ces affections aux doigts existaient déjà en 2010, soit bien avant la procédure initiée devant le SEM. Par ailleurs, de vives douleurs aux extrémités des doigts de la main ne constituent pas des atteintes à la santé si graves qu’elles empêcheraient son renvoi à destination de l’Allemagne. En tous les cas, le recourant n’explique pas en quoi son état de santé rendrait impossible son transport pendant une longue période. Ce grief est infondé.</w:t>
      </w:r>
    </w:p>
    <w:p>
      <w:r>
        <w:rPr>
          <w:b/>
        </w:rPr>
        <w:t>E. 6</w:t>
      </w:r>
    </w:p>
    <w:p>
      <w:r>
        <w:t>Au surplus, il apparaît que les principes de célérité, diligence et proportionnalité aient été respectés, la durée de la mise en détention prononcée de six semaines, qui reste dans le délai ordinaire prévu par la loi, étant adéquate.</w:t>
      </w:r>
    </w:p>
    <w:p>
      <w:r>
        <w:rPr>
          <w:b/>
        </w:rPr>
        <w:t>E. 7</w:t>
      </w:r>
    </w:p>
    <w:p>
      <w:r>
        <w:t>Il résulte de ce qui précède que le recours doit être rejeté et l'ordonnance confirmée. Le présent arrêt peut être rendu sans frais (art. 50 LPA-VD). 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Paul-Arthur Treyvaud doit se voir allouer une indemnité qui peut être arrêtée sur la base de la liste de ses opérations produite le 11 janvier 2017, faisant état de 4 heures et 55 minutes (295 minutes) consacrées au dossier et de 67 fr. 60 de débours. Ce décompte peut être admis dans son intégralité. En définitive, l'indemnité due à Me Treyvaud sera arrêtée à 1’029 fr., débours et TVA compris. Par ces motifs, la Chambre des recours civile du Tribunal cantonal, prononce : I. Le recours est rejeté. II. L’ordonnance est confirmée. III. L’arrêt est rendu sans frais. IV. L’indemnité d’office de Me Paul-Arthur Treyvaud est arrêtée à 1'029 fr. (mille vingt-neuf francs), débours et TVA compris. V. L’arrêt motivé est exécutoire. La présidente :               La greffière : Du L'arrêt qui précède, dont le dispositif a été communiqué par écrit aux intéressés le 20 janvier 2017, est notifié en expédition complète, par l'envoi de photocopies, à : ‑ Me Paul-Arthur Treyvaud (pour J.________) ‑ Service de la population, secteur Départs et mesures.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