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636 vom 29. August 2017</w:t>
      </w:r>
    </w:p>
    <w:p>
      <w:r>
        <w:t>VD Tribunal cantonal, 2017-08-29, FR</w:t>
      </w:r>
    </w:p>
    <w:p>
      <w:r>
        <w:rPr>
          <w:b/>
        </w:rPr>
        <w:t xml:space="preserve">Quelle: </w:t>
      </w:r>
      <w:r>
        <w:t>https://mcp.opencaselaw.ch/entscheid/vd_findinfo_HC___2017___636</w:t>
      </w:r>
    </w:p>
    <w:p>
      <w:r>
        <w:t>FR: VD_FINDINFO HC / 2017 / 636 du 29 août 2017</w:t>
      </w:r>
    </w:p>
    <w:p>
      <w:r>
        <w:t>IT: VD_FINDINFO HC / 2017 / 636 del 29 agosto 2017</w:t>
      </w:r>
    </w:p>
    <w:p>
      <w:pPr>
        <w:pStyle w:val="Heading2"/>
      </w:pPr>
      <w:r>
        <w:t>Regeste</w:t>
      </w:r>
    </w:p>
    <w:p>
      <w:r>
        <w:t>AVANCE DE FRAIS, CONJOINT, SUBSIDIARITÉ | 163 CC, 107 al. 2 LTF</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 citées). Sous l’empire de la procédure fédérale, le renvoi prévu à l’art. 318 al. 1 let. c CPC (Code de procédure civile du 19 décembre 2008 ; RS 272) a les mêmes conséquences (Jeandin, CPC commenté, Bâle 2011, n. 4 ad art. 318 CPC). Le tribunal auquel la cause est renvoyée voit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 1.3.2 ad art. 66 aOJ, p. 598 ; TF 5A_336/2008 du 28 août 2008 consid. 1.3 et les réf. citées). Les considérants de l’arrêt retournant la cause pour nouvelle décision à l’autorité cantonale lient aussi le Tribunal fédéral et les parties (ATF 133 III 201 consid. 4.2 ; ATF 125 III 421 consid. 2a).</w:t>
      </w:r>
    </w:p>
    <w:p>
      <w:r>
        <w:rPr>
          <w:b/>
        </w:rPr>
        <w:t>E. 2</w:t>
      </w:r>
    </w:p>
    <w:p>
      <w:r>
        <w:t>Le Tribunal fédéral a annulé l'arrêt du 6 octobre 2016 et renvoyé le dossier à l’autorité de céans pour qu’elle se prononce sur le grief formulé par l’appelante s’agissant du refus de lui accorder la provisio ad litem qu’elle avait requise en première instance.</w:t>
      </w:r>
    </w:p>
    <w:p>
      <w:r>
        <w:rPr>
          <w:b/>
        </w:rPr>
        <w:t>E. 2.1</w:t>
      </w:r>
    </w:p>
    <w:p>
      <w:r>
        <w:t>La provision ad litem peut être accordée au stade des mesures protectrices de l'union conjugale déjà (cf. TF_5A 793/2008 du 8 mai 2009 consid. 6.2; CREC 15 juin 2012/220). Elle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2013, n. 2.5 ad art. 163 CC et les réf. citées). La provisio ad litem a pour but de permettre à chaque conjoint de défendre correctement ses propres intérêts dans une procédure judiciaire, même de nature matrimoniale. Il s'agit d'une simple avance, qui doit en principe être restituée (ATF 66 II 70 consid. 3; TF 5A_777/2014 du 4 mars 2015 consid. 6.2). Il appartient au juge, dans le jugement de divorce, de statuer sur la question de l'éventuelle restitution de cette avance dans le cadre de la répartition des frais et des dépens (ATF 66 II 70 consid. 3; TF 5A_ 777/2014 du 4 mars 2015 consid. 6.2). Lorsqu’une provision ad litem est versée à l’un des époux et que ce dernier succombe dans l’action, il devra en principe rembourser l’avance à celui qui l’a fournie (CACI 19 octobre 2015/720 consid. 5.6b).</w:t>
      </w:r>
    </w:p>
    <w:p>
      <w:r>
        <w:rPr>
          <w:b/>
        </w:rPr>
        <w:t>E. 2.2</w:t>
      </w:r>
    </w:p>
    <w:p>
      <w:r>
        <w:t>Un conjoint ne peut obtenir une provisio ad litem pour une procédure qu'il aurait initiée et qui apparaîtrait d'emblée infondée ou dilatoire (TF 5A_784/2008 du 20 novembre 2009 consid. 4.4 cité par le Tribunal fédéral dans son arrêt de renvoi; TF 5P.184/2005 du 18 juillet 2005 consid. 3.2). De jurisprudence constante, le devoir de l'Etat d'accorder l'assistance judiciaire à un plaideur impécunieux dans une cause non dénuée de chances de succès est subsidiaire par rapport aux obligations d'assistance découlant du droit de la famille. La partie qui ne dispose pas des moyens suffisants pour assumer les frais d'un procès, mais dont le conjoint est en mesure de prendre en charge ces frais, ne peut dès lors pas requérir de l'Etat l'octroi de l'assistance judiciaire (ATF 138 III 672 consid. 4.2.1 et les références; ATF 119 Ia 11 consid. 3a; ATF 108 Ia 9 consid. 3; TF 5A_928/2016 du 22 juin 2017 consid. 8; TF 5A_315/2016 du 7 février 2017 consid. 11 et la jurisprudence citée; TF 5C.42/2002 du 29 septembre 2002 consid. 6, non publié aux ATF 129 III 55).</w:t>
      </w:r>
    </w:p>
    <w:p>
      <w:r>
        <w:rPr>
          <w:b/>
        </w:rPr>
        <w:t>E. 2.3</w:t>
      </w:r>
    </w:p>
    <w:p>
      <w:r>
        <w:t>En l’espèce, le premier juge a refusé à l’appelante l’octroi de la provisio ad litem requise au motif qu’elle avait succombé dans son action qui paraissait d'emblée mal fondée. Elle n’était en effet pas parvenue à démontrer que la situation de l’intimé avait notablement et durablement changé de sorte qu’il n’y avait en définitive pas lieu de modifier le montant de la contribution d’entretien due par ce dernier en sa faveur. Cette analyse ne prête pas le flanc à la critique et doit être confirmée. En effet, les juges fédéraux ont relevé qu'il n'était pas arbitraire de retenir que les éléments dont se prévalait l'appelante pour justifier sa requête avaient été pris en considération par les parties au moment de la négociation de la convention passée à l'audience du 11 mars 2015, de sorte qu'aucune modification notable et durable de la situation prévalant à cette époque ne justifiait l'adaptation requise par l'appelante. Par ailleurs, la décision du 18 mars 2016 par laquelle le premier juge a refusé d'octroyer à l'appelante le bénéfice de l'assistance judiciaire ne fait que rappeler le principe de subsidiarité de l’assistance judiciaire par rapport au devoir d’assistance du conjoint. Contrairement à ce qu'affirme l'appelante, cette décision ne doit pas être interprétée en ce sens que la provisio ad litem était nécessairement due dans le cas d’espèce, car sa requête pouvait encore être considérée comme d’emblée infondée. En outre, l'appelante ne saurait tirer argument du fait que dans son arrêt du 6 octobre 2016, le juge délégué de la cour de céans ait accordé à l'appelante le bénéfice de l'assistance judiciaire, son appréciation finale ayant conduit au même résultat et l'arrêt ayant été annulé par le Tribunal fédéral. Le moyen, mal fondé, doit être rejeté.</w:t>
      </w:r>
    </w:p>
    <w:p>
      <w:r>
        <w:rPr>
          <w:b/>
        </w:rPr>
        <w:t>E. 3.1</w:t>
      </w:r>
    </w:p>
    <w:p>
      <w:r>
        <w:t>En définitive, l’appel doit être rejeté et l’ordonnance entreprise confirmée dans son intégralité.</w:t>
      </w:r>
    </w:p>
    <w:p>
      <w:r>
        <w:rPr>
          <w:b/>
        </w:rPr>
        <w:t>E. 3.2</w:t>
      </w:r>
    </w:p>
    <w:p>
      <w:r>
        <w:t>Selon l’art. 5 al. 1 TFJC (tarif des frais judiciaires civils du 28 septembre 2010 ; RSV 270.11.5), pour le jugement d’une cause renvoyée ensuite d’un arrêt du Tribunal fédéral, il n’est pas perçu de nouvel émolument forfaitaire de décision. Vu l’issue du litige (art. 106 al. 1 CPC), les frais judiciaires de deuxième instance, arrêtés à 600 fr. (art. 65 al. 2 TFJC), seront mis à la charge de l’appelante, qui succombe (art. 106 al. 1 CPC). Ils seront provisoirement laissés à la charge de l’Etat, l’appelante étant au bénéfice de l’assistance judiciaire.</w:t>
      </w:r>
    </w:p>
    <w:p>
      <w:r>
        <w:rPr>
          <w:b/>
        </w:rPr>
        <w:t>E. 3.3</w:t>
      </w:r>
    </w:p>
    <w:p>
      <w:r>
        <w:t>Bien que l'arrêt du 6 octobre 2016 rendu par le juge délégué de la Cour de céans ait été annulé, et même s'il est constaté que la cause est dénuée de chance de succès, il n'y a pas lieu de revenir sur l'octroi de l'assistance judiciaire accordée à l'appelante pour la procédure d'appel, sous peine de procéder à une reformatio in pejus. Il ne sera en revanche pas tenu compte des opérations effectuées par le conseil de l'appelante après l'arrêt de renvoi rendu par le Tribunal fédéral, son indemnité pour la procédure d’appel étant maintenue à 1'181 fr. 15. Dans la mesure de l’art. 123 CPC, la bénéficiaire de l'assistance judiciaire est tenue au remboursement des frais judiciaires et de l’indemnité à son conseil d’office mis à la charge de l’Etat.</w:t>
      </w:r>
    </w:p>
    <w:p>
      <w:r>
        <w:rPr>
          <w:b/>
        </w:rPr>
        <w:t>E. 3.4</w:t>
      </w:r>
    </w:p>
    <w:p>
      <w:r>
        <w:t>L’appelante versera à l’intimé le montant de 1'000 fr. à titre de dépens de deuxième instance (art. 9 al. 2 TDC [tarif du 23 novembre 2010 des dépens en matière civile ; RSV 270.11.6]). Par ces motifs, la juge déléguée de la Cour d’appel civile prononce : I. L’appel est rejeté. II. L’ordonnance est confirmée. III. L’assistance judiciaire est accordée à A.W.________ pour la procédure d’appel, Me Cornelia Seeger Tappy étant désignée en qualité de conseil d’office. IV. Les frais judiciaires de deuxième instance, arrêtés à 600 fr. (six cents francs), sont laissés à la charge de l’Etat. V. L’indemnité d’office de Me Cornelia Seeger Tappy, conseil d’office de l’appelante A.W.________, est arrêtée à 1'181 fr. 15 (mille cent huitante-et-un francs et quinze centimes), TVA et débours compris. VI. La bénéficiaire de l'assistance judiciaire est, dans la mesure de l'art. 123 CPC, tenue au remboursement de l'indemnité au conseil d'office, mis à la charge de l'Etat. VII. L'appelante A.W.________ doit verser à l'intimé B.W.________ le montant de 1'000 fr. (mille francs), à titre de dépens de deuxième instance. VIII. L’arrêt est exécutoire. La juge déléguée : La greffière : Du Le présent arrêt, dont la rédaction a été approuvée à huis clos, est notifié en expédition complète à : ‑ Me Cornelia Seeger Tappy (pour A.W.________), ‑ Me Habib Tabet (pour B.W.________),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