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616 vom 9. August 2017</w:t>
      </w:r>
    </w:p>
    <w:p>
      <w:r>
        <w:t>VD Tribunal cantonal, 2017-08-09, FR</w:t>
      </w:r>
    </w:p>
    <w:p>
      <w:r>
        <w:rPr>
          <w:b/>
        </w:rPr>
        <w:t xml:space="preserve">Quelle: </w:t>
      </w:r>
      <w:r>
        <w:t>https://mcp.opencaselaw.ch/entscheid/vd_findinfo_HC___2017___616</w:t>
      </w:r>
    </w:p>
    <w:p>
      <w:r>
        <w:t>FR: VD_FINDINFO HC / 2017 / 616 du 9 août 2017</w:t>
      </w:r>
    </w:p>
    <w:p>
      <w:r>
        <w:t>IT: VD_FINDINFO HC / 2017 / 616 del 9 agosto 2017</w:t>
      </w:r>
    </w:p>
    <w:p>
      <w:pPr>
        <w:pStyle w:val="Heading2"/>
      </w:pPr>
      <w:r>
        <w:t>Regeste</w:t>
      </w:r>
    </w:p>
    <w:p>
      <w:r>
        <w:t>CONTRAT D'HÔTELLERIE, FAUTE, CLAUSE PÉNALE, PRESTATION EN CAPITAL, FARDEAU DE LA PREUVE, LANGUE DE LA PROCÉDURE | 44 al. 1 CO, 44 CO, 97 al. 1 CO, 97 CO, 129 CPC (CH), 38 CDPJ</w:t>
      </w:r>
    </w:p>
    <w:p>
      <w:pPr>
        <w:pStyle w:val="Heading2"/>
      </w:pPr>
      <w:r>
        <w:t>Erwägungen</w:t>
      </w:r>
    </w:p>
    <w:p>
      <w:r>
        <w:rPr>
          <w:b/>
        </w:rPr>
        <w:t>E. 1</w:t>
      </w:r>
    </w:p>
    <w:p>
      <w:r>
        <w:t>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 en temps utile par une partie qui y a intérêt (art. 59 al. 2 let. a CPC) et portant sur des conclusions largement supérieures à 10'000 fr., l’appel est recevable.</w:t>
      </w:r>
    </w:p>
    <w:p>
      <w:r>
        <w:rPr>
          <w:b/>
        </w:rPr>
        <w:t>E. 2</w:t>
      </w:r>
    </w:p>
    <w:p>
      <w:r>
        <w:t>et les réf. citées ; Jeandin, op. cit., n. 6 ad art. 310 CPC).</w:t>
      </w:r>
    </w:p>
    <w:p>
      <w:r>
        <w:rPr>
          <w:b/>
        </w:rPr>
        <w:t>E. 3.1</w:t>
      </w:r>
    </w:p>
    <w:p>
      <w:r>
        <w:t>La procédure est conduite dans la langue officielle du canton dans lequel l’affaire est jugée (art. 129 CPC). Dans le canton de Vaud, la langue officielle du procès est le français (art. 38 al. 1 CDPJ [Code droit privé judiciaire vaudois du 12 janvier 2010 ; RSV 211.02]). Si une partie procède dans une autre langue, un délai doit alors lui être imparti en vertu de l’art. 132 CPC pour procéder dans la langue officielle, et cela quelle que soit la langue utilisée. Il n’y a néanmoins pas lieu de faire de formalisme excessif, notamment s’agissant des pièces produites avec les écritures. Si l’on doit exiger que les écritures des parties soient rédigées dans la langue officielle et que les débats se déroulent dans cette langue, on peut se montrer plus souple en ce qui concerne les titres produits en procédure, cela même si le CPC ne contient aucune disposition analogue à l’art. 53 al. 3 LTF (loi sur le Tribunal fédéral du 17 juin 2005 ; RS 173.110), qui permet au Tribunal fédéral, avec l’accord des parties, de renoncer à une traduction des pièces qui ne sont pas rédigées dans une langue officielle (Bohnet, CPC commenté, op. cit., n. 3 ad art. 129 CPC). Par ailleurs,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(Bohnet, op. cit., n. 5 ad art. 129 CPC).</w:t>
      </w:r>
    </w:p>
    <w:p>
      <w:r>
        <w:rPr>
          <w:b/>
        </w:rPr>
        <w:t>E. 3.2</w:t>
      </w:r>
    </w:p>
    <w:p>
      <w:r>
        <w:t>En l’espèce, l'appelant se réfère à l'état de fait arrêté par les premiers juges et ne le conteste pas. Cet état de fait est essentiellement composé d'éléments rédigés en anglais et repris tels quels par les premiers juges, à part quelques passages isolés faisant l'objet d'une « traduction libre proposée par le défendeur et admise par la demanderesse ». Ce procédé ne paraît pas admissible. Certes, comme on l’a vu ci-dessus, on peut se montrer plus souple avec les pièces qu'avec les écritures. Il incombait toutefois à la juridiction inférieure de s'assurer que l'ensemble des passages topiques des titres en question fassent l'objet d'une traduction complète et fiable (ATF 128 I 273), cela d'autant plus que le litige réside précisément dans la portée de ces écrits, notamment ceux échangés après la conclusion du contrat. Il n’est pas possible de considérer que le vice serait couvert par l'absence de réaction des premiers juges et des parties ensuite de la production de ces titres. Il convient en effet d'éviter que l'objet du litige soit définitivement fixé dans une langue étrangère en première instance, ce qui pourrait empêcher une appréhension pleine et entière de la cause, dans toutes ses nuances, par les juridictions supérieures. Ainsi, une annulation d’office du jugement entrepris pourrait se justifier. Toutefois, dès lors que l’on est en mesure de comprendre les faits arrêtés par les premiers juges, on renoncera à annuler le jugement, la pratique des premiers juges se situant encore à l’extrême limite de ce qui est admissible.</w:t>
      </w:r>
    </w:p>
    <w:p>
      <w:r>
        <w:rPr>
          <w:b/>
        </w:rPr>
        <w:t>E. 4.1</w:t>
      </w:r>
    </w:p>
    <w:p>
      <w:r>
        <w:t>L'appelant invoque en premier lieu que le contrat d'hébergement signé par les parties ne prévoit pas une peine conventionnelle mais une indemnisation forfaitaire en cas d'annulation de la réservation et que l'indemnité forfaitaire convenue dépend de la survenance des conditions usuelles de la responsabilité civile, à savoir un dommage, l'inexécution de l'obligation principale, un lien de causalité naturelle et adéquate entre la violation du contrat et le dommage et la responsabilité du débiteur dans l'inexécution. La réalisation de ces conditions n'aurait pas été établie par l'intimée, de sorte que celle-ci ne serait pas en droit de prétendre au paiement de l'indemnité forfaitaire contractuelle. Sur ce point, l'intimée soutient que les frais d'annulation seraient dus aussi bien dans le cas de figure d'une clause pénale que dans celui d'une convention d'indemnisation forfaitaire. Si on opte pour cette seconde alternative, le fardeau de la preuve serait renversé, de sorte qu’il appartiendrait à l'appelant de prouver qu'aucune faute ne lui est imputable, en vertu de l'art. 97 al. 1 CO. Or, en donnant régulièrement des indications contradictoires quant à ses intentions de se départir du contrat et en annulant irrévocablement les réservations le</w:t>
      </w:r>
    </w:p>
    <w:p>
      <w:r>
        <w:rPr>
          <w:b/>
        </w:rPr>
        <w:t>E. 4.2.1</w:t>
      </w:r>
    </w:p>
    <w:p>
      <w:r>
        <w:t>L'hôtelier qui fournit au voyageur le logement conclut avec celui-ci un contrat d'hébergement. Comme tel, ce contrat n'est pas réglé par la loi. Il comprend des éléments du bail, de la vente, du mandat et du dépôt (ATF 120 II 252).</w:t>
      </w:r>
    </w:p>
    <w:p>
      <w:r>
        <w:rPr>
          <w:b/>
        </w:rPr>
        <w:t>E. 4.2.2</w:t>
      </w:r>
    </w:p>
    <w:p>
      <w:r>
        <w:t>La jurisprudence admet que des parties cocontractantes puissent prévoir une clause d'indemnisation forfaitaire ou une clause pénale applicable à celle d'entre elles qui aurait provoqué par sa faute la fin du contrat (Couchepin, La forfaitisation du dommage, SJ 2009 Il 1).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en peine conventionnelle sera vraisemblable, voire présumée (Couchepin, op. cit., pp. 18-19).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(voir ci-dessous), ni le créancier, ni le débiteur ne peuvent la remettre en cause. En revanche, le créancier d'une clause pénale peut faire valoir un dommage supplémentaire en établissant une fauté à la charge du débiteur (Couchepin, op. cit., p. 15). La convention d'indemnisation est dite « absolue » lorsque les parties fixent de manière définitive (absolue) les dommages-intérêts dus par le débiteur. Le créancier ne peut pas prouver un dommage supplémentaire, ni le débiteur prouver un dommage inférieur, car l'indemnité convenue est réputée couvrir le dommage. L'indemnité forfaitaire absolue convenue correspond donc au montant maximal (clause de limitation de responsabilité) mais également au montant minimal auquel le créancier peut prétendre en cas de dommage. La convention d'indemnisation est dite « relative » lorsque les parties ne limitent pas les dommages-intérêts dus par le débiteur à l'indemnité forfaitaire convenue. Dans un tel cas, la convention a simplement valeur de contrat sur la preuve (Beweisvertrag) : les parties ayant apprécié le dommage de manière anticipée, le créancier n'a pas à prouver la quotité réelle de celui-ci. On présume que l'indemnité convenue correspond au dommage mais les parties demeurent libres d'apporter la preuve du contraire (présomption réfragable). Dès lors, le créancier peut obtenir une indemnité supplémentaire s'il fait valoir un dommage réel supérieur et le débiteur peut refuser de s'acquitter de la quotité de l'indemnité forfaitaire supérieure au dommage réel s'il fait valoir un dommage réel inférieur (Couchepin, op. cit., p. 12).</w:t>
      </w:r>
    </w:p>
    <w:p>
      <w:r>
        <w:rPr>
          <w:b/>
        </w:rPr>
        <w:t>E. 4.2.3</w:t>
      </w:r>
    </w:p>
    <w:p>
      <w:r>
        <w:t>L'exigibilité de l'indemnité forfaitaire convenue dépend de la survenance des conditions matérielles suivantes, qui se rapprochent de celles du droit ordinaire : - la survenance d'un dommage. Le créancier supporte le fardeau de la preuve de l'existence du principe d'un dommage reconnu par le droit commun (art. 41 CO ; à la différence d'une clause pénale, un intérêt immatériel n'est pas suffisant). En revanche, il n'a pas à en prouver la quotité ; - l'inexécution de l'obligation principale (art. 97 ou 102 et ss CO). Il doit s'agir de l'obligation visée spécifiquement par la convention d'indemnisation et non pas de n'importe quelle obligation contractuelle à la charge du débiteur ; - un lien de causalité naturelle et adéquate entre la violation du contrat et le dommage ; - la responsabilité du débiteur dans l'inexécution. Sauf convention contraire (responsabilité objective), le débiteur doit être subjectivement responsable de l'inexécution. Trois hypothèses d'imputabilité sont donc envisageables : la faute (art. 97 al. 1 CO), la responsabilité pour le fait de l'auxiliaire (art. 101 al. 1 CO) et le cas fortuit en cas de demeure (art. 103 al. 1 CO). Le juge peut toutefois réduire l'indemnité forfaitaire convenue en cas de faute concomitante du créancier, en application de l'art. 44 al. 1 CO (cf art. 99 al. 3 CO). Le juge dispose d'un large pouvoir d'appréciation (Couchepin, op. cit., pp. 13-14).</w:t>
      </w:r>
    </w:p>
    <w:p>
      <w:r>
        <w:rPr>
          <w:b/>
        </w:rPr>
        <w:t>E. 4.3</w:t>
      </w:r>
    </w:p>
    <w:p>
      <w:r>
        <w:t>En l'espèce, contrairement à ce qu'ont admis les premiers juges, le contrat passé entre les parties ne comporte pas une clause pénale mais une convention d'indemnisation forfaitaire, sous la rubrique « Cancellation policy ». Compte tenu de l'objet de leur accord et du contexte des pourparlers, les parties ont à l'évidence procédé à une évaluation forfaitaire de l'éventuel dommage enduré par l'intimée en cas d'annulation de la réservation. Le contrat est d'ailleurs clair sur ce point. Il est en effet question de dommages-intérêts forfaitaires et il est expressément précisé qu'il ne s'agit pas d'une clause pénale (« Accordingly, you are subject to the Cancellation and Attrition Policies outlined below, which the parties intend as liquidated damages and not as penalty »). En outre, le montant objet de la clause est proche du montant de 100'000 fr. fixé sur la base d'une estimation minimale de 400 nuits, de sorte qu'il y a clairement une adéquation entre la perte éventuelle de l'hôtelier et le montant lui revenant en cas d'annulation. Il en découle également que les parties ont entendu fixer de manière définitive la quotité de cette réparation, sur la base d'un schéma progressif en fonction de la proximité temporelle entre l'annulation et le début prévu de la location. Le contrat ne laisse aucune place pour une indemnisation supérieure ou inférieure en fonction d'hypothèses prédéfinies, de sorte qu'on est bien en présence d'une convention d'indemnité absolue. D'ailleurs, dans l'hôtellerie, ce type de réparation « ferme » en cas d'annulation tardive est courant, ce qui va également dans le sens de cette appréciation. Quant à l'exigibilité de l'indemnité convenue, l'appelant ne conteste ni l'existence d'un dommage, ni l'inexécution de l'obligation principale, ni l'existence d'un lien de causalité naturelle et adéquate entre la violation du contrat et le dommage. Il se contente de relever que le jugement entrepris ne retient pas que l'une de ces hypothèses serait réalisée et qu'il aurait commis une faute. Cela n'est pas suffisant. Non seulement la réalisation des trois premières conditions est manifeste mais, de surcroît, l'appelant n'établit nullement n'avoir commis aucune faute, alors qu'il supportait le fardeau de la preuve. Sur ce dernier point, il se contente d'alléguer qu'il a régulièrement informé l'intimée de l'augmentation du nombre des participants, qu'il a pris des mesures en vue de limiter cette augmentation et qu'il a également entrepris des démarches pour déplacer le Festival à [...] à [...], permettant ainsi de soulager les infrastructures de l'intimée. Ces éléments ne lui sont cependant d'aucun secours car ils confirment l'impréparation dont il a fait preuve et il apparaît plutôt que l'annulation résulte directement d'un comportement imputable à l’organisateur et non de circonstances imprévisibles totalement indépendantes d'une planification sérieuse. Il ressort clairement du déroulement des faits que l'appelant a donné régulièrement des indications contradictoires quant à ses intentions de se départir du contrat et que ce n'est finalement que le 9 juillet 2013 qu'il a définitivement annoncé à l'intimée qu'il annulait irrévocablement les réservations, son courriel du 26 juin 2013 n'ayant manifestement pas le caractère d'une annulation ferme. En effet, s’il a effectivement évoqué l’éventualité d’une annulation ou d’un report du Festival lui-même , il a ensuite parlé d’annuler uniquement la réservation pour 10 % des nuitées pour le cas où les parties échoueraient dans leurs efforts tendant à trouver une solution mutuellement satisfaisante. Il a ensuite relevé qu’il paraissait difficile d’obtenir l'auditorium [...] et qu’il essayait donc de réserver le [...]. Dans son courriel du 28 juin 2013, l’appelant a continué d’évoquer les modalités pratiques d’organisation du Festival en soulignant que l'annulation ou le report de l'événement n'était un scénario souhaitable pour personne ; il a également relevé que pour le cas où les problèmes soulevés ne pourraient pas être résolus de manière satisfaisante, l’annulation évoquée dans son courriel du 26 juin serait d’actualité. Dans un courriel du 30 juin 2013, l’appelant s’est déclaré prêt à maintenir le Festival si l’intimée parvenait à trouver une solution convenable pour l’accueil des participants. Le 2 juillet 2013, l’appelant a écrit à l’intimée qu’à moins de quatre semaines de l’événement et en l'absence de réponse à ses courriels, il était inquiet quant à son engagement de tout mettre en œuvre pour que l’événement ait lieu. Le 7 juillet 2013, l’appelant a estimé que la proposition de l’intimée de limiter le nombre de convives posait problème ; il a indiqué que, dès lors que l'hôtel avait fixé un plafond à 1000 invités, ce chiffre ne permettait pas la flexibilité nécessaire et qu’à moins qu’il n’y ait possibilité de discuter, l’annulation était à nouveau d’actualité. Il ne ressort ainsi pas des courriels précités que l’appelant a formulé l’intention ferme d’annuler le Festival ; il s’est contenté de brandir à de nombreuses reprises la menace d’une annulation, tout en relevant systématiquement que celle-ci n’aurait lieu que si les parties ne trouvaient pas un terrain d’entente. L'appelant ne saurait se disculper en se contentant d'alléguer que le nombre de participants a augmenté au-delà de l'estimation initiale. En effet, il ne pouvait ignorer la capacité maximale de l'intimée et il a manifestement failli à ses obligations de diligence dans l'organisation du Festival. L'intimée n'était pas en mesure d'accueillir un nombre illimité de personnes et la garantie prévue en page 2 du contrat portait sur le groupe prévu initialement. L'intimée n'a dès lors violé aucune obligation en indiquant par la suite ne pas pouvoir accueillir un nombre de personnes supérieur. L'appelant ne peut dès lors de bonne foi renverser les rôles et reporter ses propres carences sur l'intimée, cela d'autant moins que celle-ci s'est efforcée de s'adapter à ses exigences constantes et a proposé des solutions alternatives pour accueillir la manifestation, notamment à la maison [...] et à la salle [...] à [...], qui étaient disponibles. Ainsi, non seulement l'appelant n'a pas renversé la présomption de la faute de l'art. 97 al. 1 CO, mais on peut même admettre que cette faute est établie. 5. 5.1 Dans un second moyen, l'appelant soutient que l'indemnité forfaitaire doit être réduite. Une telle réduction se justifierait d'une part en raison d'une faute concomitante de l'intimée (art. 44 al. 1 CO) et, d'autre part, en application par analogie de la jurisprudence du Tribunal fédéral portant sur l'indemnité forfaitaire dans le contrat de mandat, celui-ci ayant considéré qu'une indemnité forfaitaire supérieure à 10 % des honoraires perçus à l'avenir par le mandataire, destinée à remplacer le gain manqué par celui-ci, était incompatible avec l'art. 404 al. 1 CO. L'indemnité forfaitaire litigieuse, qui s'élève à 90 % du revenu que l'intimée devait percevoir en cas de parfaite exécution du contrat, dépasserait ainsi très largement la quotité de 10 % admise par notre Haute Cour. L'intimée conteste toute faute concomitante de sa part au sens de l'art. 44 al. 1 CO et rappelle que les parties sont liées par un contrat d'hébergement soumis aux règles générales du CO. Dans la mesure où les parties ont convenu d'une indemnité forfaitaire absolue, soit correspondant à une somme fixe prédéterminée définitivement dans le contrat et réputée couvrir le dommage, l'appelant ne peut être admis à prouver un dommage inférieur. Enfin, l'intimée relève par surabondance que la clause litigieuse pourrait être assimilée à un dédit au sens de l'art. 158 CO, le contrat ne prévoyant aucun motif d'annulation à part le cas de force majeure. On pourrait donc considérer que l'annulation des réservations et le paiement de l'indemnité forfaitaire seraient totalement indépendants d'une hypothétique responsabilité contractuelle. 5.2 La doctrine est divisée à propos de la possibilité de réduire une indemnité forfaitaire par application analogique de l'art. 163 al. 3 CO. Toutefois, selon le Tribunal fédéral, cette disposition légale ne s'applique pas à l'indemnité forfaitaire, puisqu'il ne s'agit pas d'une peine conventionnelle (Couchepin, op. cit., pp. 23-24 et les réf. citées). En principe, le débiteur d'une indemnité forfaitaire absolue n'a donc pas la possibilité de remettre en cause la quotité de cette dernière par la preuve d'un dommage réel différent. Le seul moyen dont il dispose consiste à invoquer la clausula rebus sic stantibus (cf. art. 373 al. 2 CO) et les règles sur l'exclusion des clauses limitatives de responsabilité en cas de dol ou de faute grave (art. 100 CO) (Couchepin, op. cit. pp. 23-25). 5.3 En l'espèce, il convient de rappeler en premier lieu que l'appelant n'a pas établi une quelconque faute imputable à l'intimée (cf. consid. 4.3 supra), ce qui exclut l'application de l'art. 44 al. 1 CO. Celle de l'art. 404 al. 1 CO n'entre pas non plus en ligne de compte car cette disposition impérative s'applique au contrat de mandat et le contrat d'hébergement, même s'il comporte certains éléments du mandat (au niveau du service), a néanmoins une nature différente sous bien des aspects, qui relèvent du bail, de la vente et du dépôt (ATF 120 II 252). On ne saurait donc transposer dans le présent litige la solution adoptée par le Tribunal fédéral dans les arrêts cités par l'appelant, qui est spécifique au mandat. L'appelant n'a pas non plus allégué la survenance de circonstances extraordinaires qui ne seraient pas imputables à son propre comportement, ni une attitude dolosive de l'intimée. En conséquence, il n'y a pas lieu d'envisager une quelconque réduction de l'indemnité forfaitaire convenue par les parties. 6. 6.1 En définitive, mal fondé, l’appel doit être rejeté et le jugement entrepris confirmé. 6.2 Les frais judiciaires de deuxième instance, arrêtés à 1'800 fr. (art. 61 al. 1 TFJC [tarif des frais judiciaires civils du 28 septembre 2010, RSV 270.11.5]), sont mis à la charge de l’appelant, qui succombe (art. 106 al. 1 CPC). 6.3 L’intimée a droit à de pleins dépens, qui seront arrêtés à 2'100 fr. (art. 12 TDC [tarif des dépens en matière civile du 23 novembre 2010, RSV 270.11.6]), à la charge de l’appelant (art. 106 al. 1 CPC).</w:t>
      </w:r>
    </w:p>
    <w:p>
      <w:r>
        <w:rPr>
          <w:b/>
        </w:rPr>
        <w:t>E. 9</w:t>
      </w:r>
    </w:p>
    <w:p>
      <w:r>
        <w:t>juillet 2013, soit deux semaines et demie à l'avance seulement, l'appelant aurait failli aux obligations clairement décrites dans le contrat et rien ne permettrait d'admettre qu'il aurait renversé la présomption prévue par la disposition légale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