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481 vom 7. Juli 2017</w:t>
      </w:r>
    </w:p>
    <w:p>
      <w:r>
        <w:t>VD Tribunal cantonal, 2017-07-07, FR</w:t>
      </w:r>
    </w:p>
    <w:p>
      <w:r>
        <w:rPr>
          <w:b/>
        </w:rPr>
        <w:t xml:space="preserve">Quelle: </w:t>
      </w:r>
      <w:r>
        <w:t>https://mcp.opencaselaw.ch/entscheid/vd_findinfo_HC___2017___481</w:t>
      </w:r>
    </w:p>
    <w:p>
      <w:r>
        <w:t>FR: VD_FINDINFO HC / 2017 / 481 du 7 juillet 2017</w:t>
      </w:r>
    </w:p>
    <w:p>
      <w:r>
        <w:t>IT: VD_FINDINFO HC / 2017 / 481 del 7 luglio 2017</w:t>
      </w:r>
    </w:p>
    <w:p>
      <w:pPr>
        <w:pStyle w:val="Heading2"/>
      </w:pPr>
      <w:r>
        <w:t>Regeste</w:t>
      </w:r>
    </w:p>
    <w:p>
      <w:r>
        <w:t>GARDE ALTERNÉE, CENTRE DE VIE, DOMICILE, ENFANT, DROIT D'ÊTRE ENTENDU, AUDITION DE L'ENFANT | 25 al. 1 CC, 152 al. 1 CPC (CH), 298 al. 1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références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w:t>
      </w:r>
    </w:p>
    <w:p>
      <w:r>
        <w:rPr>
          <w:b/>
        </w:rPr>
        <w:t>E. 1.2</w:t>
      </w:r>
    </w:p>
    <w:p>
      <w:r>
        <w:t>En l'espèce, formé en temps utile par une partie qui y a intérêt (art. 59 al. 2 let. a CPC) contre une décision finale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S’agissant des questions relatives aux enfants, la maxime inquisitoire illimitée (art. 296 al. 1 CPC) et, en sus, la maxime d'office (art. 296 al. 2 CPC) sont applicables.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P.________ a produit un lot de trois pièces sous bordereau. L es pièces 1 à 2 sont recevables, s'agissant de pièces de forme. On ne tiendra en revanche pas compte de la pièce 3, nouvelle, dans la mesure où il s’agit en réalité d’un témoignage écrit de la fille mineure de l’appelante, non recevable faute de remplir les conditions de l’art. 190 CPC, en particulier faute d’avoir été requis par le tribunal (art. 190 al. 2 CPC), et où l’appelante n’expose pas en quoi l’audition de cette mineure serait nécessaire ni en quoi elle ne pouvait être demandée en première instance, de sorte que ce témoignage écrit est également irrecevable sous l’angle de l’art. 317 al. 1 CPC. A cela s’ajoute que dans le cadre d’une appréciation anticipée des preuves, la prise en compte de ce témoignage écrit apparaît inutile à ce stade, au vu des éléments qui ressortent déjà de l’audition de la représentante du SPJ M.________ lors de l’audience du 17 novembre 2016 au sujet du lien entre Q.________ et sa demi-sœur A.________, l’état de fait ayant été complété en ce sens (let. C/11 supra ).</w:t>
      </w:r>
    </w:p>
    <w:p>
      <w:r>
        <w:rPr>
          <w:b/>
        </w:rPr>
        <w:t>E. 2.6</w:t>
      </w:r>
    </w:p>
    <w:p>
      <w:r>
        <w:t>p. 150/151; TF 5A_482/2007 du 17 décembre 2007 consid. 3.1).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(ATF 133 III 553 consid. 4 p. 554; ATF 127 III 295 consid. 2 p. 297 et les réf. cit.; TF 5C.19/2002 du 15 octobre 2002 consid. 2.1 ; TF 5C.247/2004 du 10 février 2005 consid. 6.3.2).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5A_50/2010 du 6 juillet 2010 consid. 2.1 et les réf. cit.).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consid. 4 p. 554; TF 5A_572/2015 du 8 octobre 2015 consid. 4.2 in fine et la réf. ; TF 5A_497/2011 du</w:t>
      </w:r>
    </w:p>
    <w:p>
      <w:r>
        <w:rPr>
          <w:b/>
        </w:rPr>
        <w:t>E. 3.1</w:t>
      </w:r>
    </w:p>
    <w:p>
      <w:r>
        <w:t>Sous couvert d'une violation des art. 29 al. 2 Cst. et 298 al. 1 CPC, l’appelante se plaint de l’instauration d’un régime de garde alternée qui doit prévaloir dès le 1 er septembre 2017, estimant que les premiers juges auraient versé dans l’arbitraire en l’ordonnant, ce qui aboutirait à un résultat choquant et contraire à l’intérêt de l’enfant. A cet égard, elle invoque une violation de son droit d'être entendue ainsi que de celui de l’enfant, dans la mesure où les premiers juges ont refusé tant d’entendre l’enfant que de mettre en œuvre une expertise pédopsychiatrique en lieu et place.</w:t>
      </w:r>
    </w:p>
    <w:p>
      <w:r>
        <w:rPr>
          <w:b/>
        </w:rPr>
        <w:t>E. 3.2.1</w:t>
      </w:r>
    </w:p>
    <w:p>
      <w:r>
        <w:t>Selon la jurisprudence du Tribunal fédéral (ATF 142 III 617, consid. 3.2.3),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(TF 5A_266/2015 du 24 juin 2015 consid. 4.2.2.1;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p. 340), les intérêts des parents devant être relégués au second plan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TF 5A_46/2015 du 26 mai 2015 consid. 4.4.2 et 4.4.5; TF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r>
        <w:rPr>
          <w:b/>
        </w:rPr>
        <w:t>E. 3.2.2</w:t>
      </w:r>
    </w:p>
    <w:p>
      <w:r>
        <w:t>Le droit d'être entendu étant de nature formelle, sa violation conduit à l'annulation de la décision attaquée, indépendamment des chances de succès du recours sur le fond (ATF 137 I 195 consid. 2.2 ; ATF 135 I 279 consid. 2.6.1).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 TF 4A_283/2013 du 20 août 2013, RSPC1/2014 5). En l’occurrence, dans la mesure où les griefs se confondent, la question de l’audition de l’enfant et de la mise en œuvre d’une expertise des compétences parentales sera examinée uniquement sous l’angle de la violation alléguée de l’art. 298 CPC et sous celui du droit à la preuve que le droit d’être entendu inclut.</w:t>
      </w:r>
    </w:p>
    <w:p>
      <w:r>
        <w:rPr>
          <w:b/>
        </w:rPr>
        <w:t>E. 3.2.3.1</w:t>
      </w:r>
    </w:p>
    <w:p>
      <w:r>
        <w:t>Sous l’angle de la procédure, le droit d’être entendu des parties (rappelé formellement à l’art. 53 al. 1 CPC) inclut celui de faire administrer des preuves à l'appui de ses demandes ou défenses en justice (Schweizer, CPC commenté, op. cit.,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rPr>
          <w:b/>
        </w:rPr>
        <w:t>E. 3.2.3.2</w:t>
      </w:r>
    </w:p>
    <w:p>
      <w:r>
        <w:t>Selon l'art. 298 al. 1 CPC, les enfants sont entendus personnellement et de manière appropriée par le tribunal ou un tiers nommé à cet effet, pour autant que leur âge ou d'autres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5A_714/2015 du 28 avril 2016 consid. 4.2.2; TF 5A_402/2011 du 5 décembre 2011 consid. 5.1 et les réf.). Même si les parties n'ont requis l'audition de l'enfant ni en première instance, ni en appel, le juge d'appel doit d'office se poser la question d'une telle audition lorsque l'enfant a plus de 6 ans (TF 5A_402/2011 du 5 décembre 2011 consid. 5; TF 5C.316/2006 consid. 2 non publié aux ATF 133 III 553). Selon la jurisprudence du Tribunal fédéral (cf. not. TF 5A_971/2015 du 30 juin 2016 consid.</w:t>
      </w:r>
    </w:p>
    <w:p>
      <w:r>
        <w:rPr>
          <w:b/>
        </w:rPr>
        <w:t>E. 3.3</w:t>
      </w:r>
    </w:p>
    <w:p>
      <w:r>
        <w:t>et les réf. cit.).</w:t>
      </w:r>
    </w:p>
    <w:p>
      <w:r>
        <w:rPr>
          <w:b/>
        </w:rPr>
        <w:t>E. 3.3.1</w:t>
      </w:r>
    </w:p>
    <w:p>
      <w:r>
        <w:t>En l’espèce, dans le contexte difficile qui a été celui de l’enfant Q.________, du fait de la séparation parentale puis de la procédure pénale initiée par l’appelante manifestement à tort, compte tenu des nombreux intervenants qui ont déjà gravité autour de la prise en charge de l’enfant depuis plusieurs années et ont rendu compte de l’évolution de la situation, après avoir rencontré et entendu l’enfant à plusieurs reprises, et, enfin, au vu du conflit de loyauté dans lequel l’enfant concerné est englué à l’égard de sa mère, ainsi que de l’incapacité de celle-ci, après des années, de protéger son fils de son angoisse et de sa prévention quant à la prise en charge paternelle, l’opinion de l’assistant social du SPJ O.________ selon laquelle l’audition de l’enfant n’est pas admissible car la mère ne pourrait s’empêcher de tenter d’influer sur cette audition est largement justifiée. Les circonstances précitées constituent manifestement un juste motif de renonciation à l’audition de l’enfant au sens de l’art. 298 al. 1 in fine CPC (cf. consid. 3.2.3.2 supra ).</w:t>
      </w:r>
    </w:p>
    <w:p>
      <w:r>
        <w:rPr>
          <w:b/>
        </w:rPr>
        <w:t>E. 3.3.2</w:t>
      </w:r>
    </w:p>
    <w:p>
      <w:r>
        <w:t>En ce qui concerne l’expertise pédopsychiatrique sollicitée à défaut d’audition, il faut admettre non seulement que sa mise en œuvre serait contraire à l’intérêt bien compris de Q.________, en raison de la charge émotionnelle qu’elle représenterait dans le contexte de vie de celui-ci et des circonstances de sa prise en charge jusqu’alors, mais qu’elle serait en outre parfaitement inutile, dans la mesure où rien ne permet de mettre en doute la capacité du père intimé d’agir adéquatement pour son fils, y compris dans le cadre d’une prise en charge allant croissant. A cela s’ajoute que le contexte du conflit parental a déjà été largement appréhendé et exposé par les différents professionnels amenés à en connaître et que les intervenants en faveur de l’enfant s’accordent à reconnaître le bénéfice pour l’enfant d’un rétablissement d’un lien personnel de qualité avec son père et la nécessité d’intervenir au besoin pour empêcher la mère appelante de l’entraver, allant jusqu’à préconiser, malgré le conflit parental, une prise en charge alternée au terme d’une intensification progressive des relations personnelles. Il faut dès lors constater qu’une expertise pédopsychiatrique serait aussi bien inutile en termes d’instruction qu’inutilement lourde pour l’enfant concerné, après que celui-ci a déjà été soumis à une expertise de crédibilité dans le cadre de la procédure pénale, qu’il a été placé en foyer durant une période non négligeable en lien avec l’incapacité de sa mère de le préserver de sa prévention à l’égard du père et de ses propres angoisses et qu’il a été vu et entendu à plusieurs reprises par l’éducateur référent de l’Association [...], ainsi que par les assistants sociaux O.________ et M.________. Mal fondé, le grief de la violation du droit d’être entendu en lien avec la violation du droit à la preuve doit donc être rejeté. 4. Sur le fond, l’appelante ne remet pas formellement en cause, à juste titre, la nécessité d’un lien personnel régulier et de qualité entre l’enfant Q.________ et son père. Elle ne prétend pas davantage que l’intimé ne serait pas à même de prendre en compte les besoins de l’enfant, ni d’agir adéquatement en conséquence, à nouveau à raison. En effet, aucun élément du dossier ne parle en défaveur de la capacité éducative du père, dont le comportement adéquat et les efforts pour rétablir un lien avec son fils, nonobstant les difficultés dans lesquelles la dénonciation pénale l’avaient plongé, ont été soulignés par les intervenants socio-éducatifs ; au contraire, il ressort suffisamment du contexte exposé ci-dessus que le rétablissement d’un lien régulier et de qualité de l’enfant avec son père est à la fois nécessaire à son développement et justifié par les circonstances du cas d’espèce. La nécessité d’un cadre strict ne laissant pour ainsi dire aucune marge de manœuvre à la mère pour s’y opposer ressort par ailleurs suffisamment du dossier. On soulignera également que la question du retrait de la garde de fait à la mère si celle-ci ne parvient pas à collaborer à la restauration du lien père-fils dans l’intérêt de ce dernier a été évoquée de manière explicite par l’assistant social O.________ à l’occasion de son audition à l’audience de jugement, l’instauration d’une prise en charge alternée étant considérée comme un moyen de pallier le risque d’une nouvelle rupture du lien père-fils, au vu des difficultés rencontrées dans l’exercice du droit de visite du fait de l’opposition maternelle. Or depuis l’audience de jugement, le président du tribunal a été amené à statuer à nouveau par voie de mesures superprovisionnelles puis de mesures provisionnelles sur l’exercice concret du droit de visite, malgré l’organisation déjà mise en place par le SPJ, ce qui corrobore les craintes émises par l’assistant social O.________. Dans ce contexte, nonobstant le conflit parental, l’instauration d’une prise en charge alternée apparaît non seulement compatible, mais nécessaire au bon développement de l’enfant Q.________, lequel a déjà été suffisamment privé de la présence d’un père dont la capacité d’interagir adéquatement avec son fils est désormais reconnue. La gradation prévue dans l’exercice du droit de visite avant l’instauration du régime de garde alternée répond au surplus au besoin d’un cadre clair et strict mis en avant par les intervenants sociaux, de même qu’elle tient compte du besoin de l’enfant de s’acclimater à la nouvelle situation. Quant au lien de Q.________ avec sa demi-sœur A.________, dont l’appelante se prévaut également pour s’opposer à une prise en charge alternée, il faut constater qu’il n’a pas été méconnu par les interventions sociaux amenés à préconiser une telle prise en charge, l’assistante sociale M.________ ayant souligné son importance et sa qualité pour l’enfant. L’argument de la rupture de ce lien n’est cependant pas pertinent, du moment que la garde de fait n’est pas retirée à l’appelante, au domicile de laquelle réside A.________, mais seulement partagée avec l’intimé, et que dans ce contexte, l’enfant et sa demi-sœur continueront à se voir au domicile maternel, mais à un rythme moins soutenu. Au demeurant, vu l’âge actuel d’A.________ (16 ans), on doit s’attendre à ce que la régularité des contacts avec son demi-frère âgé de 9 ans diminue au fur et à mesure que la jeune fille gagnera en autonomie et en indépendance du foyer maternel, de sorte que l’argument du lien fraternel devrait de toute façon être relativisé. En définitive, la nouvelle réglementation de la prise en charge de Q.________ résultant du jugement attaqué apparaît parfaitement adéquate et doit être confirmée, sous réserve de la détermination, dans le cadre de la garde alternée, du domicile officiel de l’enfant (cf. consid. 5 infra ).</w:t>
      </w:r>
    </w:p>
    <w:p>
      <w:r>
        <w:rPr>
          <w:b/>
        </w:rPr>
        <w:t>E. 5</w:t>
      </w:r>
    </w:p>
    <w:p>
      <w:r>
        <w:t>décembre 2011 consid. 4.1). De justes motifs de renoncer à l'audition de l'enfant peuvent être par ailleurs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s’ils ne sont pas établis concrètement, ne suffisent pas à renoncer à son audition (ATF 131 III 553 consid. 1.3.1 ; TF 5A_2/2016 du 28 avril 2016 consid. 2.3, FamPra 2016 p. 804). Il convient dans tous les cas d'éviter de procéder à une audition pour la forme, ce qui sera notamment le cas lorsqu'il n'y a pas lieu de s'attendre à de nouvelles informations ou lorsque le bénéfice attendu n'est pas proportionnel à la charge que représenterait la nouvelle audition (ATF 133 III 553 consid. 4 précité TF 5A_775/2016 du 17 janvier 2017 consid.</w:t>
      </w:r>
    </w:p>
    <w:p>
      <w:r>
        <w:rPr>
          <w:b/>
        </w:rPr>
        <w:t>E. 5.1</w:t>
      </w:r>
    </w:p>
    <w:p>
      <w:r>
        <w:t>Le domicile de l’enfant mineur suit celui de ses deux parents lorsque ceux-ci vivent ensemble (art. 25 al. 1 1 re phr. CC) ; à défaut de domicile parental commun, le domicile de l’enfant suit le régime d’attribution de la garde de fait (art. 25 al. 1 2 e phr. CC) ; lorsque les deux parents, tous deux détenteurs de l’autorité parentale, ont des domiciles distincts, sans que ni l’un ni l’autre ait été privé de la garde, le domicile de l’enfant se trouve au lieu de sa résidence (art. 25 al. 1 in fine CC), soit au lieu avec lequel l’enfant a les liens les plus étroits, généralement au domicile du parent auprès duquel l’enfant vit le plus régulièrement et qui le prend en charge. En cas de garde alternée, l’endroit où l’enfant est scolarisé pourrait faire pencher la balance si les deux parents ne sont pas domiciliés dans la même commune (cf. Meier/Stettler, Droit de la filiation, 5 e éd., 2014, nn. 850 ss, spéc. 856 et les réf. cit.).</w:t>
      </w:r>
    </w:p>
    <w:p>
      <w:r>
        <w:rPr>
          <w:b/>
        </w:rPr>
        <w:t>E. 5.2</w:t>
      </w:r>
    </w:p>
    <w:p>
      <w:r>
        <w:t>En prévoyant dès le 1 er septembre 2017 que le lieu de résidence de l’enfant Q.________, soit la garde de fait, s’exercerait alternativement à raison d’une semaine (sept jours) chez chacun des parents, du dimanche à 18 heures au dimanche suivant à 18 heures, l’autorité parentale leur étant restituée et exercée conjointement dès cette même date, les premiers juges ont instauré une prise en charge équivalente entre les deux parents non domiciliés ensemble, mais n’ont pas défini le domicile de l’enfant. Il y a lieu de compléter d’office (art. 296 CPC) le jugement attaqué afin d’éviter tout nouveau litige et toute complication administrative ultérieure. En l’occurrence, dès le 1 er septembre 2017, la prise en charge sera strictement équivalente. Q.________ a été jusqu’ici scolarisé sur Lausanne, tandis que le père est domicilié dans une commune avoisinante, soit au Mont-sur-Lausanne. On ignore quel établissement scolaire sera fréquenté à la rentrée 2017-2018 par cet enfant, décrit comme intelligent et éveillé par l’éducateur référent du [...]. En fonction de son âge, celui-ci se trouve toutefois pour quelques années encore dans le cycle primaire II, qui enclasse des enfants âgés de 8 à 12 ans avant leur orientation en voie générale ou prégymnasiale durant le cycle secondaire I (art. 79 et 83 al. 1 LEO [loi sur l’enseignement obligatoire du 7 juin 2011 ; RSV 400. 02]). Pour éviter de déstabiliser davantage l’enfant, il y lieu de privilégier en l’état le maintien de son environnement scolaire, de sorte que le lieu officiel de son domicile doit être situé au domicile maternel, à Lausanne, ce que le dispositif du présent arrêt spécifiera par l’ajout d’un chiffre III/IV sexies . Il y a lieu de préciser que le lieu de domicile de l’enfant pourra être revu si nonobstant l’autorité parentale conjointe, la mère ne renseigne pas le père sur les communications officielles concernant l’enfant parvenant à son domicile, ou si, de façon générale, des difficultés surgissent quant à l’aspect administratif de la prise en charge de l’enfant. Enfin, une évolution dans les conditions de prise en charge de l’enfant doit être réservée, notamment si la garde alternée devait s’avérer impraticable du fait de l’opposition persistante de la mère, auquel cas un réexamen de la situation pourrait déboucher sur l’attribution au père du droit exclusif de déterminer le lieu de résidence de l’enfant, voire au retrait de l’autorité parentale de la mère, ce qui entraînerait dans les deux cas un domicile officiel de l’enfant au domicile paternel.</w:t>
      </w:r>
    </w:p>
    <w:p>
      <w:r>
        <w:rPr>
          <w:b/>
        </w:rPr>
        <w:t>E. 6</w:t>
      </w:r>
    </w:p>
    <w:p>
      <w:r>
        <w:t>Nonobstant l’entrée en vigueur, au 1 er janvier 2017, du nouveau droit de l’entretien de l’enfant (RO 2015 4299), applicable à la présente cause (art. 13c bis al. 1 Tit. fin. CC) et la modification des conditions de la prise en charge de l’enfant Q.________ dans le sens de la garde alternée dès le 1 er septembre 2017, il ne se justifie pas de modifier ici la contribution d’entretien mise à la charge de l’intimé par le jugement de divorce du 24 février 2015 et non remise en cause dans l’appel subséquent ayant donné lieu à l’arrêt de la Cour d’appel civile du 23 juin 2015/323, faute de conclusions en ce sens. En effet, dans le cadre de la présente procédure, l’intimé a lui-même conclu à ce qu’il assume seul l’entretien de l’enfant s’il devait en obtenir la garde de fait exclusive : a fortiori doit-il accepter de contribuer financièrement à l’entretien de son fils lorsque la garde s’exerce de façon alternée, qu’il ne ressort pas du jugement, ni du dossier que les conditions de revenus de l’une et l’autre partie auraient été modifiées de façon substantielle et enfin que ni l’une ni l’autre partie n’a formulé de conclusion chiffrée tendant à la modification de la contribution d’entretien pour Q.________. Dans ces conditions et sur la base du jugement de divorce – dont il ressort que l’intimé était fortuné et jouissait encore d’une situation financière confortable nonobstant la survenue de l’âge de la retraite (ndr : au 20 octobre 2014), tandis que l’appelante ne disposait d’aucun revenu mais devait accroître sa propre capacité contributive, faute de mariage ayant exercé une influence décisive sur ses conditions d’existence, et que le versement de la contribution d’entretien après divorce (art. 125 CC) mise à la charge de l’intimé a été pour ce motif limité au 31 mars 2016 par l’arrêt sur appel du 23 juin 2015 –, on peut supputer que la situation de l’appelante ne s’est pas améliorée d’une façon qui justifierait la suppression de la contribution d’entretien mise à la charge de l’intimé pour l’entretien de Q.________, étant rappelé que la prise en charge en nature ne dispense pas du versement d’une contribution d’entretien si elle est nécessaire à la couverture des besoins de l’enfant et que cela vaut d’autant plus en cas de disproportion des revenus en présence (TF 5A_259/2012 du 14 novembre 2012 consid. 5.2) . Tout au plus doit-on réserver, dans ce contexte, la possibilité pour l’une et l’autre partie de faire valoir, dans le cadre d’une nouvelle procédure, une modification substantielle des circonstances de la prise en charge financière de l’enfant (art. 13c Tit. fin. CC).</w:t>
      </w:r>
    </w:p>
    <w:p>
      <w:r>
        <w:rPr>
          <w:b/>
        </w:rPr>
        <w:t>E. 7.1</w:t>
      </w:r>
    </w:p>
    <w:p>
      <w:r>
        <w:t>En conclusion, l'appel doit être rejeté selon la procédure de l'art. 312 al. 1 CPC et le jugement entrepris réformé d’office par l’adjonction à son dispositif d’un chiffre III/IV sexies dans le sens du considérant qui précède (cf. consid. 5.2 supra ), la précision du dispositif en lien avec le domicile de l’enfant n’étant pas assimilable au gain du moyen correspondant invoqué par l’appelante, puisque la conclusion tendant à ce que le « lieu de résidence » de l’enfant soit fixé chez l’appelante est motivée par le fait que la garde devrait être confiée à cette dernière, ce qui n’est pas le cas (consid. 4 supra ).</w:t>
      </w:r>
    </w:p>
    <w:p>
      <w:r>
        <w:rPr>
          <w:b/>
        </w:rPr>
        <w:t>E. 7.2</w:t>
      </w:r>
    </w:p>
    <w:p>
      <w:r>
        <w:t>Compte tenu de ce qui précède, il y a également lieu de considérer que l’appel était dénué de chance de succès au sens de l’art. 117 let. b CPC. Le bénéfice de l’assistance judiciaire doit donc être refusé à l’appelante.</w:t>
      </w:r>
    </w:p>
    <w:p>
      <w:r>
        <w:rPr>
          <w:b/>
        </w:rPr>
        <w:t>E. 7.3</w:t>
      </w:r>
    </w:p>
    <w:p>
      <w:r>
        <w:t>Les frais judiciaires de deuxième instance, arrêtés à 600 fr. (art. 65 al. 2 TFJC [tarif des frais judiciaires civils du 28 septembre 2010 ; RSV 270.11.5]), seront mis à la charge de l’appelante, qui succombe (art. 106 al. 1 CPC).</w:t>
      </w:r>
    </w:p>
    <w:p>
      <w:r>
        <w:rPr>
          <w:b/>
        </w:rPr>
        <w:t>E. 7.4</w:t>
      </w:r>
    </w:p>
    <w:p>
      <w:r>
        <w:t>L’intimé n’ayant pas été invité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