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459 vom 13. Juli 2017</w:t>
      </w:r>
    </w:p>
    <w:p>
      <w:r>
        <w:t>VD Tribunal cantonal, 2017-07-13, FR</w:t>
      </w:r>
    </w:p>
    <w:p>
      <w:r>
        <w:rPr>
          <w:b/>
        </w:rPr>
        <w:t xml:space="preserve">Quelle: </w:t>
      </w:r>
      <w:r>
        <w:t>https://mcp.opencaselaw.ch/entscheid/vd_findinfo_HC___2017___459</w:t>
      </w:r>
    </w:p>
    <w:p>
      <w:r>
        <w:t>FR: VD_FINDINFO HC / 2017 / 459 du 13 juillet 2017</w:t>
      </w:r>
    </w:p>
    <w:p>
      <w:r>
        <w:t>IT: VD_FINDINFO HC / 2017 / 459 del 13 luglio 2017</w:t>
      </w:r>
    </w:p>
    <w:p>
      <w:pPr>
        <w:pStyle w:val="Heading2"/>
      </w:pPr>
      <w:r>
        <w:t>Regeste</w:t>
      </w:r>
    </w:p>
    <w:p>
      <w:r>
        <w:t>DESSOUS-DE-TABLE, STIPULATION POUR AUTRUI, VENTE, CONTRAT DE DÉPÔT, NOTAIRE, ESCROW AGENT | 112 CO, 472 al. 1 CO, 44 al. 4 LNo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doit être introduit dans les trente jours à compter de la notification de la décision motivée (art. 311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et les références).</w:t>
      </w:r>
    </w:p>
    <w:p>
      <w:r>
        <w:rPr>
          <w:b/>
        </w:rPr>
        <w:t>E. 3.1</w:t>
      </w:r>
    </w:p>
    <w:p>
      <w:r>
        <w:t>Invoquant une constatation inexacte des faits sur plusieurs points, les appelants reviennent sur le prix de vente tel qu’arrêté par les premiers juges, relevant que le jugement indiquerait de manière contradictoire les sommes de 240'000 fr., puis de 157'715 fr. sur la base du témoignage F.________. Il ressort clairement de la convention que le prix de vente des actions a été fixé à 240'000 fr., le chiffre II détaillant même la composante de ce prix. La convention donne d’ailleurs quittance du paiement du prix de vente aux acheteurs. On ne saurait ainsi dire, contrairement à ce qui a été retenu par les premiers juges sur la base notamment du témoignage F.________, que « le montant de 240'000 fr. était une avance du prix de vente des actions résultant de la convention, que le prix de vente des actions avait été payé aux acheteurs à hauteur de 157'715 fr. 75 et que le solde – correspondant à la différence du prix de vente des actions convenues et de l’avance qu’il avait effectuée – devait lui être restitué » (jugement, p. 5). En accord avec ce que relèvent les appelants, la convention ne fait nullement état d’une avance ou « provision » de 240'000 fr. et rien ne justifiait, en l’occurrence, le versement d’une provision supérieure au prix de vente. Il s’ensuit que le prix de vente des actions était bel et bien de 240'000 francs.</w:t>
      </w:r>
    </w:p>
    <w:p>
      <w:r>
        <w:rPr>
          <w:b/>
        </w:rPr>
        <w:t>E. 3.2</w:t>
      </w:r>
    </w:p>
    <w:p>
      <w:r>
        <w:t>L’examen de la qualification des relations juridiques entre les parties au litige et des raisons qui ont conduit les premiers juges à considérer que c’est à juste titre que le solde du prix de vente avait été restitué par le défendeur aux acheteurs relève du droit et non des faits, si bien que le tribunal n'a pas procédé à une constatation inexacte des faits sur ces points. Il en va de même de la problématique liée au versement supplémentaire de 100'000 fr., qualifié de dessous-de-table par le tribunal, sur la base des explications des parties et du contenu de la convention du 5 mai 2009 entre M.________ et G.________. Ces questions seront examinées successivement ci-dessous.</w:t>
      </w:r>
    </w:p>
    <w:p>
      <w:r>
        <w:rPr>
          <w:b/>
        </w:rPr>
        <w:t>E. 4.1</w:t>
      </w:r>
    </w:p>
    <w:p>
      <w:r>
        <w:t>En droit, les appelants remettent en cause l’ensemble du raisonnement des premiers juges. Ils se plaignent principalement d’une violation des art. 479 et 481 CO (Code des obligations du 30 mars 2011 ; RS 220), faisant valoir qu’ils seraient liés à l’intimé par un contrat de dépôt, et subsidiairement d’une violation de l’art. 112 CO, soutenant qu’ils seraient au bénéfice d’une stipulation pour autrui parfaite. Ils invoquent également une violation de l’art. 44 al. 4 LNo (loi sur le notariat du 29 juin 2004 ; RSV 178.11), relevant à cet égard que l’intimé aurait violé ses obligations légales.</w:t>
      </w:r>
    </w:p>
    <w:p>
      <w:r>
        <w:rPr>
          <w:b/>
        </w:rPr>
        <w:t>E. 4.2.1</w:t>
      </w:r>
    </w:p>
    <w:p>
      <w:r>
        <w:t>Le contrat de dépôt au sens de l’art. 472 CO est un contrat par lequel le dépositaire s'oblige envers le déposant à recevoir une chose mobilière que celui-ci lui confie et à la garder en lieu sûr (al. 1). Ce contrat se caractérise par trois obligations prises par le dépositaire : recevoir une chose mobilière, la garder en lieu sûr et ensuite la restituer. L'obligation de restituer (cf. art. 475 al. 1 CO) revêt un caractère essentiel pour qualifier le contrat (ATF 139 III 160 consid. 2.4 et les réf. cit.).</w:t>
      </w:r>
    </w:p>
    <w:p>
      <w:r>
        <w:rPr>
          <w:b/>
        </w:rPr>
        <w:t>E. 4.2.2</w:t>
      </w:r>
    </w:p>
    <w:p>
      <w:r>
        <w:t>En l’occurrence, comme le relève à juste titre l’intimé, ce ne sont pas les appelants qui lui ont remis les 240'000 fr., mais bien les acheteurs des actions. C’est en vain que les appelants, en se référant notamment aux déclarations de M.________ selon lesquelles « un montant devait encore être dû à G.________ », prétendent qu’ils étaient les propriétaires de ce montant dès son versement sur le compte de consignation de l’intimé, puisque l’art. 479 CO précise que même si un tiers se prétend propriétaire de la chose déposée, le dépositaire n’en est pas moins tenu de la restituer au déposant, tant qu’elle n’a pas été judiciairement saisie ou que le tiers n’a pas introduit contre lui sa demande en revendication. Or, conformément au chiffre II de la convention, le prix de vente a été versé aux vendeurs à hauteur de 157'715 fr. 75 ; quant au solde litigieux de 82'284 fr. 25, qui, comme le prévoyait ce même chiffre II, devait faire l’objet d’un décompte entre parties, il a été restitué aux déposants, soit aux acheteurs, avant que les appelants fassent valoir – pas moins de trois ans plus tard – leurs prétentions à cet égard. Force est donc de constater que les parties au présent litige n’étaient pas liées par un contrat de dépôt, de sorte que les appelants invoquent en vain la violation des dispositions y relatives (art. 479 et 481 CO) pour fonder leurs prétentions en paiement des 82'284 fr. 25 . Comme le relèvent – à titre subsidiaire –les appelants, l’existence d’une stipulation pour autrui parfaite constituerait dès lors le seul fondement juridique envisageable à l’action contre l’intimé, l’existence d’un contrat d’escrow entre ce dernier et les acheteurs n’étant d’ailleurs pas contesté.</w:t>
      </w:r>
    </w:p>
    <w:p>
      <w:r>
        <w:rPr>
          <w:b/>
        </w:rPr>
        <w:t>E. 4.3.1</w:t>
      </w:r>
    </w:p>
    <w:p>
      <w:r>
        <w:t>Aux termes de l’art. 112 CO, celui qui, agissant en son propre nom, a stipulé une obligation en faveur d’un tiers a le droit d’en exiger l’exécution au profit de ce tiers (al. 1). Le tiers ou ses ayants droit peuvent aussi réclamer personnellement l’exécution, lorsque telle a été l’intention des parties ou que tel est l’usage (al. 2). Dans ce cas, et dès le moment où le tiers déclare au débiteur qu’il entend user de son droit, il ne dépend plus du créancier de libérer le débiteur (al. 3). La stipulation pour autrui n’est pas un contrat, mais un mode spécialement convenu de l’exécution de l’obligation (Tercier/Pichonnaz, Le droit des obligations, 5 e éd., 2012, n. 1046, p. 235 ; Tevini/Du Pasquier, Commentaire romand, 2 e éd., 2012, n. 2 ad art. 112 CO). Elle fait intervenir trois acteurs : le stipulant, le promettant et le bénéficiaire.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III 60 consid. 5.2 ; Engel, Traité des obligations en droit suisse, 2 e éd., 1997, p. 417 s. ; Tevini/Du Pasquier, op. cit., n. 3 ad art. 112 CO ; Zellwegger-Gutknecht, Basler Kommentar OR I, 6 e éd., 2015, nn. 15 et 15a ad art. 112 CO). La stipulation pour autrui parfaite ne se présume pas (TF 4A_627/2011 du 8 mars 2012 consid. 3.5.1 ; ATF 123 III 129 consid. 3d ; Tevini/Du Pasquier, op. cit., n. 9 ad art. 112 CO). Elle se déduit avant tout de l’intention des parties (Tercier/Pichonnaz, op. cit., n. 1051, p. 236 ; Tevini/Du Pasquier, op. cit., n. 8 ad art. 112 CO ; Zellwegger-Gutknecht, op. cit., n. 9 ad art. 112 CO), mais également de l’usage – qui est soit reconnu par la loi, soit difficile à établir et généralement nié par les tribunaux (Tevini/Du Pasquier, op. cit., n. 8 ad art. 112 CO) –, de la loi, ou encore du but et de la nature du contrat (Engel, op cit., p. 420 ; Zellwegger-Gutknecht, op. cit., n. 10 ad art. 112 CO). Le but et la nature du contrat commandent de retenir une stipulation pour autrui parfaite lorsque la prestation en question n’a d’intérêt que pour le tiers bénéficiaire (Engel, op. cit., p. 425 et les arrêts cités).</w:t>
      </w:r>
    </w:p>
    <w:p>
      <w:r>
        <w:rPr>
          <w:b/>
        </w:rPr>
        <w:t>E. 4.3.2</w:t>
      </w:r>
    </w:p>
    <w:p>
      <w:r>
        <w:t>En l’espèce, les premiers juges ont retenu que la convention du 26 mai 2009 ne prévoyait rien quant au sort à donner au solde du prix de vente et a fortiori ne stipulait pas que les demandeurs pouvaient s'adresser directement au défendeur pour réclamer l'exécution du contrat le liant aux acheteurs, de sorte que l'hypothèse de la stipulation pour autrui parfaite devait être écartée. Cette appréciation doit être confirmée. Le fait que la convention indiquait, sous chiffre VI, que le décompte acheteur-vendeur – qui devait être produit par la partie la plus diligente au plus tard pour le 28 février 2010 – était exigible dans les trente jours dès l’acceptation du décompte tend certes à démontrer qu’un solde pouvait apparaître en faveur de l’une ou l’autre des parties. Rien n’était toutefois prévu si aucun décompte n’était produit ou si le décompte produit par l’une des parties était contesté par l’autre. On aurait éventuellement pu admettre l’existence d’une stipulation pour autrui parfaite en faveur des appelants (vendeurs) en ce sens que si un décompte était accepté par les parties, faisant apparaître un solde en faveur des appelants, ces derniers auraient pu exiger directement du notaire V.________ le versement de cette somme sur le montant consigné auprès de lui par les acheteurs. En revanche, en l’absence de décompte, on ne conçoit pas une stipulation pour autrui en ce sens que les appelants pourraient exiger l’exécution du contrat d’escrow par le versement en leurs mains des 82'284 fr. 25 à titre de solde du prix de vente des actions, tandis que les acheteurs pourraient exiger l’exécution du même contrat par le versement en leurs mains du même montant en tant que restitution du montant déposé par eux. Dans ces circonstances, une stipulation pour autrui ne peut être retenue sur la base de l’intention des parties, les appelants faisant valoir que les parties auraient donné des « instructions orales » allant dans le sens d’un versement en leur faveur du solde litigieux en l’absence de décompte dans le délai imparti, sans toutefois démontrer le bien-fondé de leurs allégations. Ensuite, c’est à tort que les appelants prétendent que « vu l’art. 44 al. 4 LNo, la mention expresse de l’obligation de l’intimé de leur verser le solde du prix de vente dans la convention n’était pas nécessaire pour rendre la stipulation parfaite ». On ne saurait en effet déduire de cette disposition – qui prévoit que la restitution des fonds doit intervenir d’office, sitôt l’affaire terminée, à défaut d’instructions précises et écrites des intéressés – un usage fondant une stipulation pour autrui parfaite allant dans le sens voulu par les appelants, et ces derniers ne le démontrent d’ailleurs pas, pas plus qu’ils ne sauraient fonder leur prétention contre l’intimé en invoquant une violation de l’art. 44 al. 4 LNo. Sur ce dernier point, en effet, force est de constater que les appelants partent du principe que « la somme de 82'284 fr. 25 était acquise [par eux] », alors que, comme on vient de le voir, tel n’est pas le cas.</w:t>
      </w:r>
    </w:p>
    <w:p>
      <w:r>
        <w:rPr>
          <w:b/>
        </w:rPr>
        <w:t>E. 5</w:t>
      </w:r>
    </w:p>
    <w:p>
      <w:r>
        <w:t>Dans un dernier moyen, les appelants reprochent au tribunal d’avoir considéré (ndr : à titre subsidiaire) que le contrat de vente d’actions conclu entre les appelants et les acheteurs était simulé et qu’il était par conséquent nul. Les premiers juges se sont appuyés sur l’audition des appelants et sur la convention signée le 5 mai 2009 par M.________ et G.________ faisant état d’un prix de vente de 340'000 francs. Indépendamment de la qualification donnée au paiement de ces 100'000 fr. supplémentaires (340'000 fr. – 240'000 fr.) et de ses conséquences juridiques sur le contrat de vente d’actions (rapport de valeur), on relèvera que les parties à ce contrat ne sont pas les mêmes que celles concernées par le présent litige, de sorte que cette problématique est sans incidence sur l’issue de la cause. En effet, en cas de vice du rapport de valeur, soit de la relation contre le créancier (ici les acheteurs d’actions) et le tiers (ici les vendeurs d’actions), seul le créancier obtient une créance en répétition contre le tiers (Tevini/Du Pasquier, op. cit., n. 14 ad art. 112 CO, par renvoi du n. 21 ad art. 112 CO). D’ailleurs, de l’aveu même de l’intimé, le versement supplémentaire de 100'000 fr. « n’a aucune incidence sur la rétrocession aux acheteurs de la somme arrondie à 82'000 fr., dès lors qu’il n’était pas au courant » (PV des opérations, p. 38). Il le répète dans sa réponse à l’appel, en relevant que le prix de vente des actions n’a aucune incidence sur l’issue du litige (réponse, ch. 6 ss, p. 3). Le développement fait à titre subsidiaire par les premiers juges n’est donc pas susceptible d’exercer une influence sur le sort du litige, pas plus que la critique y relative faite par les appelants.</w:t>
      </w:r>
    </w:p>
    <w:p>
      <w:r>
        <w:rPr>
          <w:b/>
        </w:rPr>
        <w:t>E. 6</w:t>
      </w:r>
    </w:p>
    <w:p>
      <w:r>
        <w:t>En définitive, l’appel doit être rejeté et le jugement attaqué confirmé. Les frais judiciaires de deuxième instance, arrêtés à 1'822 fr. (art. 62 al. 1 TFJC [tarif des frais judiciaires civils du 28 septembre 2010 ; RSV 270.11.5]), seront mis à la charge des appelants, qui succombent (art. 106 al. 1 CPC), solidairement entre eux (art. 106 al. 3 CPC), et compensés avec l’avance de frais qu’ils ont fournie (art. 111 al. 1 CPC). Vu l’issue du litige, les appelants verseront à l’intimé des dépens de deuxième instance, fixés conformément à l’art. 12 TDC (tarif des dépens en matière civile du 23 novembre 2010 ; RSV 270.11.6). Compte tenu de la valeur litigeuse, des difficultés de la cause et des opérations nécessaires à la procédure d’appel, les dépens dus à l’intimé seront arrêtés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