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438 vom 19. Mai 2017</w:t>
      </w:r>
    </w:p>
    <w:p>
      <w:r>
        <w:t>VD Tribunal cantonal, 2017-05-19, FR</w:t>
      </w:r>
    </w:p>
    <w:p>
      <w:r>
        <w:rPr>
          <w:b/>
        </w:rPr>
        <w:t xml:space="preserve">Quelle: </w:t>
      </w:r>
      <w:r>
        <w:t>https://mcp.opencaselaw.ch/entscheid/vd_findinfo_HC___2017___438</w:t>
      </w:r>
    </w:p>
    <w:p>
      <w:r>
        <w:t>FR: VD_FINDINFO HC / 2017 / 438 du 19 mai 2017</w:t>
      </w:r>
    </w:p>
    <w:p>
      <w:r>
        <w:t>IT: VD_FINDINFO HC / 2017 / 438 del 19 maggio 2017</w:t>
      </w:r>
    </w:p>
    <w:p>
      <w:pPr>
        <w:pStyle w:val="Heading2"/>
      </w:pPr>
      <w:r>
        <w:t>Regeste</w:t>
      </w:r>
    </w:p>
    <w:p>
      <w:r>
        <w:t>MESURE DE CONTRAINTE{DROIT DES ÉTRANGERS}, DÉTENTION AUX FINS D'EXPULSION, PROPORTIONNALITÉ, RENVOI{DROIT DES ÉTRANGERS}, MALADIE | 76a LEtr, 80 al. 6 LEtr</w:t>
      </w:r>
    </w:p>
    <w:p>
      <w:pPr>
        <w:pStyle w:val="Heading2"/>
      </w:pPr>
      <w:r>
        <w:t>Erwägungen</w:t>
      </w:r>
    </w:p>
    <w:p>
      <w:r>
        <w:rPr>
          <w:b/>
        </w:rPr>
        <w:t>E. 1.1</w:t>
      </w:r>
    </w:p>
    <w:p>
      <w:r>
        <w:t>Le recours au Tribunal cantonal est ouvert contre la décision du juge de paix ordonnant la détention administrative (art. 80 al. 1 LEtr [loi fédérale sur les étrangers du 16 décembre 2005 ; RS 142.20] ; 30 al. 1 LVLEtr [loi du 18 décembre 2007 d'application dans le canton de Vaud de la législation fédérale sur les étrangers ; RSV 142.11]).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Déposé en temps utile par le recourant, qui y a un intérêt, le recours est formellement recevable (art. 30 al. 2 LVLEtr).</w:t>
      </w:r>
    </w:p>
    <w:p>
      <w:r>
        <w:rPr>
          <w:b/>
        </w:rPr>
        <w:t>E. 1.2</w:t>
      </w:r>
    </w:p>
    <w:p>
      <w:r>
        <w:t>Le Juge de paix du district de Lausanne est l’autorité compétente en vertu des art. 17 et 20 LVLEtr. Saisi d’une requête motivée et documentée du SPOP du 27 avril 2017, il a procédé à l’audition du recourant le lendemain et a résumé ses déclarations dans ce qu’elles avaient d’utile (art. 21 al. 1 et 2 LVLEtr). A l’issue de l’audition, le premier juge a immédiatement rendu un ordre de détention et sa décision motivée a été notifiée le même jour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1.3</w:t>
      </w:r>
    </w:p>
    <w:p>
      <w:r>
        <w:t>La Chambre des recours civile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(CREC 25 septembre 2015/346). Le Tribunal statue à bref délai (art. 31 al. 4 LVLEtr). En l’espèce, les pièces produites par le recourant sont recevables et ont été prises en compte dans la mesure de leur utilité.</w:t>
      </w:r>
    </w:p>
    <w:p>
      <w:r>
        <w:rPr>
          <w:b/>
        </w:rPr>
        <w:t>E. 2.1</w:t>
      </w:r>
    </w:p>
    <w:p>
      <w:r>
        <w:t>Le recourant soutient que la détention serait disproportionnée car non nécessaire à l’atteinte de l’objectif visé et qu’une mesure d’assignation à résidence serait suffisante. Il ne conteste en revanche pas que les conditions légales du cas de détention sont remplies. Dans un deuxième temps, il fait valoir qu’il est atteint d’un kyste, lequel devrait être opéré, ce qui serait susceptible de prolonger sa détention au-delà de six semaines de manière disproportionnée.</w:t>
      </w:r>
    </w:p>
    <w:p>
      <w:r>
        <w:rPr>
          <w:b/>
        </w:rPr>
        <w:t>E. 2.2.1</w:t>
      </w:r>
    </w:p>
    <w:p>
      <w:r>
        <w:t>Aux termes de l’art. 76a LEtr (loi fédérale sur les étrangers ; RS 142.20) entré en vigueur le 1 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lorsque la détention est proportionnée (al. 1 let. b) ; et lorsque d'autres mesures moins coercitives ne peuvent être appliquées de manière efficace (al. 1 let. c).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 603/2013 et n. 604/2013, FF 2014 2614). Les éléments concrets suivants font craindre que l'étranger n’entende se soustraire à l'exécution du renvoi : lorsque dans le cadre de la procédure d'asile ou de renvoi, l'étranger n'observe pas les instructions des autorités, notamment en refusant de décliner son identité, enfreignant ainsi l'obligation de collaborer visée à l'art. 8 al. 1 let. a, LAsi (loi fédérale sur l’asile du 26 juin 1998 ; RS 142.31), ou ne donne pas suite à une convocation, à réitérées reprises et sans raisons valables (al. 2 let. a) ; lorsque son comportement en Suisse ou à l'étranger permet de conclure qu'il refuse d'obtempérer aux instructions des autorités (al. 2 let. b) ; lorsqu’il dépose plusieurs demandes d'asile sous des identités différentes (al. 2 let. c) ; lorsqu’il quitte la région qui lui est assignée ou pénètre dans une zone qui lui est interdite en vertu de l'art. 74 (al. 2 let. d) ; lorsqu’il franchit la frontière malgré une interdiction d'entrer en Suisse et ne peut pas être renvoyé immédiatement (al. 2 let. e) ; lorsqu’il séjourne illégalement en Suisse et y dépose une demande d'asile dans le but manifeste d'empêcher l'exécution d'un renvoi (al. 2 let. f) ; lorsqu’il menace sérieusement d'autres personnes ou met gravement en danger leur vie ou leur intégrité corporelle et fait l'objet d'une poursuite pénale ou a été condamné pour ce motif (al. 2 let. g) ; lorsqu’il a été condamné pour crime (al. 2 let. h) ; lorsqu’il nie, face à l'autorité compétente, posséder ou avoir possédé un titre de séjour ou un visa délivré par un Etat Dublin ou y avoir déposé une demande d'asile (al. 2 let. i). A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En ce qui concerne le risque de fuite induit par les comportements décrits à l’art. 76a al. 2 let. a et b LEtr, la jurisprudence rendue en application de l’art. 76 al. 1 let. b ch.</w:t>
      </w:r>
    </w:p>
    <w:p>
      <w:r>
        <w:rPr>
          <w:b/>
        </w:rPr>
        <w:t>E. 2.2.2</w:t>
      </w:r>
    </w:p>
    <w:p>
      <w:r>
        <w:t>Selon la jurisprudence, la détention doit toujours respecter le principe de la proportionnalité, ce qui suppose d’examiner l’ensemble des circonstances pour déterminer si elle paraît appropriée et nécessaire (cf. ATF 135 II 105 consid. 2.2.1 ; ATF 134 I 92 consid. 2.3.2), étant précisé que plus la détention se prolonge, plus les exigences relatives à la proportionnalité sont accrues (Nguyen, Les renvois et leur exécution en droit suisse, in Les renvois et leur exécution, Berne 2011, p. 115 ss, 183). Le refus explicite de collaborer de la personne concernée est un indice important, mais d’autres éléments entrent aussi en compte (ATF 135 II 105 consid. 2.2.2 ; ATF 134 II 201 consid. 2.2.4, confirmé notamment in TF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(TF 2C_639/2011 du 16 septembre 2011 consid. 3.1 ; TF 2C_624/2011 du 12 septembre 2011 consid. 2.1 ; TF 2C_936/2010 du 24 décembre 2010 consid. 1.3).</w:t>
      </w:r>
    </w:p>
    <w:p>
      <w:r>
        <w:rPr>
          <w:b/>
        </w:rPr>
        <w:t>E. 2.2.3</w:t>
      </w:r>
    </w:p>
    <w:p>
      <w:r>
        <w:t>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La détention n’est ainsi pas (ou plus) proportionnée au but visé lorsque, malgré les efforts des autorités de police des étrangers, la possibilité d’exécuter l’expulsion ne peut pas être sérieusement envisagée dans un délai raisonnable eu égard aux circonstances du cas d’espèce. Le maintien en détention en vue du renvoi est disproportionné et donc illicite s’il y a des raisons sérieuses pour que l’exécution ne puisse pas avoir lieu dans un délai raisonnable (TF 4C_1182/2014 du 20 janvier 2015 consid. 3.3.1 ; ATF 130 II 56 consid. 4.1.3 et les références citées). Tel est par exemple le cas d’un détenu présentant des atteintes à sa santé si importantes qu’elles rendent son transport impossible pendant une longue période (TF 2C_951/2015 du 17 novembre 2015 consid. 3.1 ; 2C_490/2012 du 11 juin 2012 consid. 5.3.1 et les réf. citées).</w:t>
      </w:r>
    </w:p>
    <w:p>
      <w:r>
        <w:rPr>
          <w:b/>
        </w:rPr>
        <w:t>E. 2.3</w:t>
      </w:r>
    </w:p>
    <w:p>
      <w:r>
        <w:t>En l’espèce, il est établi que le recourant ne s’est pas présenté au vol qui était prévu le 5 juillet 2016 et qu’il a disparu depuis lors. Cette soustraction à son renvoi a été sanctionnée par une condamnation pénale pour séjour illégal. Seule son interpellation par la police a permis de retrouver sa trace. En outre, à l’occasion de son audition par le juge de paix, le recourant a déclaré qu’il refusait catégoriquement de quitter la Suisse. Cette détermination du recourant à transgresser la décision de renvoi le concernant démontre la proportionnalité de la détention. Le SPOP a en outre exposé que des démarches étaient en cours en vue de trouver un avion susceptible d’acheminer le recourant à destination de Malte dans les délais les plus brefs. Il n’existe dès lors aucun élément qui ferait douter à ce stade que les autorités n’accompliraient pas les démarches nécessaires à l’exécution du renvoi avec diligence et célérité, conformément à l’art. 76 al. 3 et</w:t>
      </w:r>
    </w:p>
    <w:p>
      <w:r>
        <w:rPr>
          <w:b/>
        </w:rPr>
        <w:t>E. 3</w:t>
      </w:r>
    </w:p>
    <w:p>
      <w:r>
        <w:t>et 4 LEtr, dont la teneur est similaire, considère qu’il existe notamment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3.1</w:t>
      </w:r>
    </w:p>
    <w:p>
      <w:r>
        <w:t>Il découle des considérants qui précèdent que le recours doit être rejeté et l’ordonnance entreprise confirmée. Le présent arrêt peut être rendu sans frais judiciaires (art. 50 LPA-VD).</w:t>
      </w:r>
    </w:p>
    <w:p>
      <w:r>
        <w:rPr>
          <w:b/>
        </w:rPr>
        <w:t>E. 3.2</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David Abikzer a produit un récapitulatif des opérations faisant état de 6 h. 25 de travail, ses débours se montant à 63 francs. Le temps invoqué d’une heure pour l’étude du dossier et de 2 h. 30 pour l’élaboration du recours paraît excessif, compte tenu du fait que le seul argument présenté est discuté sur une seule page du recours. En outre, le temps invoqué pour les lettres de transmission paraît également élevé. On indemnisera dès lors 4 h. 30 d’activité – soit une réduction de 1 h. 40 pour le recours et de 15 minutes pour la correspondance. S’agissant des débours, il y a lieu de rappeler que le poste « ouverture du dossier » fait partie des frais généraux. Ce poste n’a pas à figurer dans une liste d’assistance judiciaire (cf. CREC 14 juillet 2015 consid. 3c et les références citées ; CREC 3 septembre 2014/312). Les débours sont dès lors ramenés à 20 francs. Au tarif horaire de 180 fr. (art. 2 al. 1 let. a RAJ [règlement du 7 décembre 2010 sur l'assistance judiciaire en matière civile ; RSV 211.02.3]), l'indemnité d'office de Me David Abikzer doit ainsi être arrêtée à 896 fr. 40, soit 810 fr. d’honoraires et 20 fr. de débours, TVA à 8 % en sus, par 66 fr. 40. Par ces motifs, la Chambre des recours civile du Tribunal cantonal, prononce : I. Le recours est rejeté. II. L'ordonnance est confirmée. III. L’indemnité de Me David Abikzer, conseil d’office de V.________, est fixée à 896 fr. 40 (huit cent nonante-six francs et quarante centimes), débours et TVA comprise. IV. L’arrêt, rendu sans frais judiciaires, est exécutoire. La présidente :               La greffière : Du L'arrêt qui précède, dont la rédaction a été approuvée à huis clos, est notifié à : ‑ Me David Abikzer (pour V.________), ‑ Service de la population, secteur asile séjour.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r>
        <w:rPr>
          <w:b/>
        </w:rPr>
        <w:t>E. 4</w:t>
      </w:r>
    </w:p>
    <w:p>
      <w:r>
        <w:t>LEtr. Pour ces motifs, l’alternative d’une assignation à résidence proposée par le recourant n’est pas susceptible d’empêcher une disparition dans la clandestinité et donc d’une mise en échec de la procédure de renvoi ; il n’est dès lors pas disproportionné de ne pas ordonner une mesure moins incisive que la détention. S’agissant de l’intervention chirurgicale, le recourant n’établit pas que celle-ci pourrait avoir lieu prochainement. En outre, une telle opération peut également se dérouler à l’étranger, par exemple à Malte. Au cas où une intervention chirurgicale pourrait avoir lieu en Suisse, la durée de la détention pourra au besoin faire l’objet d’une prolongation. Enfin, il n’est pas établi qu’il s’agisse d’une atteinte à la santé si importante qu’elle rende impossible le transport du recourant pendant une longue période (cf. TF 2C_105/2016 du 8 mars 2016 consid. 6.1 et les références citées). En définitive, il faut considérer que la détention du recourant apparaît appropriée et nécessaire, qu’elle reste dans le délai ordinaire prévu par la loi et qu’il s’agit de la mesure permettant d’assurer l’exécution du renvoi. L’ordonnance entreprise respecte donc le principe de proportionnalité et les griefs du recourant se révèlent mal fondés.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