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433 vom 24. Mai 2017</w:t>
      </w:r>
    </w:p>
    <w:p>
      <w:r>
        <w:t>VD Tribunal cantonal, 2017-05-24, FR</w:t>
      </w:r>
    </w:p>
    <w:p>
      <w:r>
        <w:rPr>
          <w:b/>
        </w:rPr>
        <w:t xml:space="preserve">Quelle: </w:t>
      </w:r>
      <w:r>
        <w:t>https://mcp.opencaselaw.ch/entscheid/vd_findinfo_HC___2017___433</w:t>
      </w:r>
    </w:p>
    <w:p>
      <w:r>
        <w:t>FR: VD_FINDINFO HC / 2017 / 433 du 24 mai 2017</w:t>
      </w:r>
    </w:p>
    <w:p>
      <w:r>
        <w:t>IT: VD_FINDINFO HC / 2017 / 433 del 24 maggio 2017</w:t>
      </w:r>
    </w:p>
    <w:p>
      <w:pPr>
        <w:pStyle w:val="Heading2"/>
      </w:pPr>
      <w:r>
        <w:t>Regeste</w:t>
      </w:r>
    </w:p>
    <w:p>
      <w:r>
        <w:t>PROTECTION DE L'UNION CONJUGALE, OBLIGATION D'ENTRETIEN, DROIT DE GARDE | 273 al. 1 CC, 276 CC, 285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JdT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par une partie qui y a intérêt (art. 59 al. 2 CPC), l’appel – qui porte sur une conclusion patrimoniale, à savoir le montant de la contribution d’entretien mis à la charge de l’appelant en faveur de sa fille, ainsi que sur des conclusions non patrimoniales, soit l’attribution de l’autorité parentale et la fixation du lieu de résidence de l’enfant –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3</w:t>
      </w:r>
    </w:p>
    <w:p>
      <w:r>
        <w:t>L’appelant reproche au premier juge d’avoir mal apprécié les faits pour fixer le lieu de résidence de l’enfant [...] au domicile de l’intimée plutôt qu’au sien. Il lui reproche également d’avoir attribué la garde de l’enfant à l’intimée et, subsidiairement, d’avoir écarté la possibilité d’une garde alternée.</w:t>
      </w:r>
    </w:p>
    <w:p>
      <w:r>
        <w:rPr>
          <w:b/>
        </w:rPr>
        <w:t>E. 3.1</w:t>
      </w:r>
    </w:p>
    <w:p>
      <w:r>
        <w:t>Lorsque le litige porte sur l'attribution de l'autorité parentale, le juge doit examiner d'office si celle-ci doit être attribuée conjointement aux deux parents, même dans l'hypothèse où les conclusions prises par ceux-ci tendent à l'attribution de l'autorité parentale exclusive (ATF 142 III 56 consid. 3 ; TF 5A_781/2015 du 14 mars 2016 consid. 3.2.3, SJ 2016 I 377). Les critères dégagés par la jurisprudence relative à l'attribution des droits parentaux demeurent applicables au nouveau droit lorsque le maintien de l'autorité parentale est litigieux, mais aussi pour statuer sur la garde lorsque celle-ci est disputée. 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TF 5A_105/2014 du 6 juin 2014 consid. 4.2.1 et les arrêts cités).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(TF 5A_928/2014 du 26 février 2015 consid. 4.2; TF 5A_345/2014 du 4 août 2014 consid. 4.2; TF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(TF 5A_46/2015 du 26 mai 2015 consid. 4.4.3, FamPra.ch 2015 p. 987; cf. Message concernant la modification du Code civil du 16 novembre 2011,  in: FF 2011 8315, p. 8331).</w:t>
      </w:r>
    </w:p>
    <w:p>
      <w:r>
        <w:rPr>
          <w:b/>
        </w:rPr>
        <w:t>E. 3.2</w:t>
      </w:r>
    </w:p>
    <w:p>
      <w:r>
        <w:t>En l’espèce, c’est à raison que le premier juge a considéré qu’il était dans l’intérêt primordial de [...] d’attribuer sa garde à sa mère auprès de qui elle devait avoir son lieu de résidence. En effet, sans remettre en question les capacités parentales des parties, le magistrat a constaté que depuis leur séparation en novembre 2016, [...] vivait avec sa mère dans l’ancien domicile conjugal. L’appelant avait, quant à lui, emménagé dans un appartement de deux pièces et demi ne disposant que d’une chambre à coucher. Ainsi, lorsqu’il avait sa fille auprès de lui, soit deux jours par semaine en sus du droit de visite usuel, l’appelant devait dormir au salon et lui laisser sa chambre, ce qui n’était pas compatible avec la mise en œuvre d’une garde de fait ou d’une garde alternée. Enfin, le magistrat a relevé que l’intimée travaillait à temps partiel comme agent de sécurité dans une grande surface et que durant ses jours de travail, elle s’était organisée pour que [...] soit prise en charge par des tiers lorsqu’elle n’est pas auprès de son père. L’appelant travaillait quant à lui à plein temps et selon des horaires qui pouvaient varier ainsi que trois week-ends par mois, ce qui rendait plus difficile la gestion d’une prise en charge de l’enfant par des tiers. Cette analyse ne prête pas le flanc à la critique et doit être confirmée. En effet, aux dires de l’intimée, la prise en charge de [...] telle qu’elle se déroule actuellement entre les parties est satisfaisante, ce que l’appelant ne conteste pas. Par ailleurs, indépendamment de la proximité géographique des logements respectifs des parties, alors que [...] a sa chambre dans l’ancien domicile conjugal, le domicile de l’appelant ne dispose que d’une chambre à coucher ce qui n’est adapté ni à une garde de fait ni une garde alternée. Enfin, s’agissant du souhait émis par l’appelant de voir sa fille plus souvent, il convient de rappeler que le droit de visite a été fixé de manière libre et large, et que les parties sont libres de s’entendre pour élargir encore les modalités du droit de visite. On constate d’ailleurs que ce droit de visite a été fixé à titre subsidiaire en faveur du père et qu’il est déjà plus étendu que le droit de visite usuel. Le moyen, mal fondé, doit être rejeté.</w:t>
      </w:r>
    </w:p>
    <w:p>
      <w:r>
        <w:rPr>
          <w:b/>
        </w:rPr>
        <w:t>E. 4</w:t>
      </w:r>
    </w:p>
    <w:p>
      <w:r>
        <w:t>L’appelant conteste également le montant de la contribution mis à sa charge par 1'346 fr. 45, en faveur de sa fille [...].</w:t>
      </w:r>
    </w:p>
    <w:p>
      <w:r>
        <w:rPr>
          <w:b/>
        </w:rPr>
        <w:t>E. 4.1</w:t>
      </w:r>
    </w:p>
    <w:p>
      <w:r>
        <w:t>Les nouvelles dispositions sur l'entretien de l'enfant sont applicables depuis le 1 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(Spycher, Kindesunterhalt : Rechtliche Grundlagen und praktische Herausforderungen – heute und demnächst, FamPra.ch 1/2016, pp. 1 ss, spéc. p. 8; Bähler, Unterhaltsberechnungen – von der Methode zu den Franken, in FamPra.ch 1/2015, pp. 271ss, spéc. p. 321; Rüetschi/Spycher, Revisionsbestrebungen im Unterhaltsrecht : aktueller Stand und Ausblick, in Schwenzer/Büchler/Frankhauser [éd.], Siebte Schweizer Familienrecht§Tage, 2014, p. 115 ss, p. 167).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Hausheer/Spycher, op. cit., pp. 163 ss; Bähler, op. cit., pp. 322ss). L’addition des coûts directs de l’enfant – éventuellement pondérés en fonction de la prise en charge effective de chaque parent – et de la contribution de prise en charge constituera le montant dû au titre de contribution d’entretien pour l’enfant.</w:t>
      </w:r>
    </w:p>
    <w:p>
      <w:r>
        <w:rPr>
          <w:b/>
        </w:rPr>
        <w:t>E. 4.2</w:t>
      </w:r>
    </w:p>
    <w:p>
      <w:r>
        <w:t>En l’espèce, l’appelant ne conteste aucun des montants de base retenus par le premier juge, respectivement dans le budget de [...], dans celui de l’intimée ou encore dans le sien. S’agissant cependant des coûts d’entretien de [...], il soutient que la prise en charge durant le temps libre et le week-end de l’intimée ne donnerait pas lieu à une contribution. Selon lui, il conviendrait ainsi de réduire les montants retenus dans le budget de [...] au titre de base mensuelle, de loyer et d’assurance-maladie de 5/7 e afin de tenir compte des jours fériés et des jours ouvrables. L’examen du dossier permet de retenir que le premier juge a calculé les coûts d’entretien de l’enfant de manière conforme au nouveau droit. Il a ainsi constaté que les coûts directs de [...] s’élevaient à 1'169 fr 85, montant duquel il a déduit les allocations familiales mensuelles versées en faveur de l’enfant par 250 fr., ramenant ainsi les coûts directs à 919 fr. 85 (1'169 fr. 85 – 250 fr.). À ce montant, le premier juge a ajouté le déficit figurant au budget de l’intimée par 785 fr., pour retenir que le total des coûts d’entretien de l’enfant, y compris la contribution de prise en charge, s’élevait à 1'704 fr. 85 (919 fr. 85 + 785 fr.). Constatant que, une fois ses charges incompressibles assumées, l’appelant disposait d’un montant de 1'346 fr. 45, le premier juge a retenu qu’il pouvait contribuer à l’entretien de sa fille en assumant l’ensemble de ses coûts directs et en couvrant en partie de la contribution de prise en charge de [...], sans entamer son minimum vital. L’argument de l’appelant pour contester la méthode employée par le premier juge ne repose sur aucun fondement juridique de sorte qu’il ne peut être suivi. Le calcul du premier juge, conforme aux exigences du nouveau droit de l’entretien de l’enfant, ne peut qu’être confirmé et l’appel rejeté sur ce point également.</w:t>
      </w:r>
    </w:p>
    <w:p>
      <w:r>
        <w:rPr>
          <w:b/>
        </w:rPr>
        <w:t>E. 5.1</w:t>
      </w:r>
    </w:p>
    <w:p>
      <w:r>
        <w:t>En définitive, l’appel doit être rejeté et l’ordonnance intégralement confirmée.</w:t>
      </w:r>
    </w:p>
    <w:p>
      <w:r>
        <w:rPr>
          <w:b/>
        </w:rPr>
        <w:t>E. 5.2</w:t>
      </w:r>
    </w:p>
    <w:p>
      <w:r>
        <w:t>L’appelant, qui succombe (art. 106 al. 1 CPC), supportera les frais judiciaires de deuxième instance arrêtés à 600 fr. (art. 65 al. 2 TFJC [tarif de frais judiciaires civils du 28 septembre 2010 ; RSV 270.11.5]). Dès lors que l’appelant plaide au bénéfice de l’assistance judiciaire, ces frais seront laissés provisoirement à la charge de l’Etat (art. 122 al. 1 let. b CPC).</w:t>
      </w:r>
    </w:p>
    <w:p>
      <w:r>
        <w:rPr>
          <w:b/>
        </w:rPr>
        <w:t>E. 5.3</w:t>
      </w:r>
    </w:p>
    <w:p>
      <w:r>
        <w:t>En sa qualité de conseil d’office de l’appelant, Me Sébastien Thüler a droit à une rémunération équitable pour ses opérations et débours dans la procédure d’appel (art. 122 al. 1 let. c CPC). Dans sa liste des opérations du 1 er mai 2017, il a indiqué avoir consacré 11 heures et 24 minutes à la procédure d’appel. Vu la nature du litige et les difficultés de la cause, il y a lieu d’admettre ce décompte. Il s'ensuit qu'au tarif horaire de 180 fr. (art. 2 al. 1 let. a RAJ [règlement sur l’assistance judiciaire en matière civile du 7 novembre 2010 ; RSV 2101.02.03]), l'indemnité de Me Sébastien Thüler est arrêtée à 2'052 fr. pour ses honoraires, montant auquel s’ajoutent 50 fr. de débours forfaitaires, une vacation par 120 fr. et la TVA sur le tout par 176 fr. 75, soit 2'399 fr. 75 au total. Me Samuel Pahud, conseil d’office de l’intimée, a produit une liste d’opérations à l’issue de l’audience d’appel, indiquant que ce mandat avait nécessité 3 heures de travail d’avocat-stagiaire et 8 heures de travail d’avocat breveté, ce qui peut également être admis. Au tarif horaire de 180 fr. pour l’avocat breveté et de 110 fr. pour l’avocat stagiaire (art. 2 al. 1 let. b RAJ), l’indemnité de Me Samuel Pahud sera arrêtée à 1'770 fr. ([3 heures x 110] + [8 heures x 180]), montant auquel s’ajoutent 50 fr. de débours forfaitaires, une vacation par 120 fr. et la TVA sur le tout par 155 fr. 20, soit 2'095 fr. 20 au total. Les bénéficiaires de l'assistance judiciaire sont, dans la mesure de l'art. 123 CPC, tenus au remboursement des frais judiciaires et de l'indemnité à leur conseil d'office mis provisoirement à la charge de l'Etat.</w:t>
      </w:r>
    </w:p>
    <w:p>
      <w:r>
        <w:rPr>
          <w:b/>
        </w:rPr>
        <w:t>E. 5.4</w:t>
      </w:r>
    </w:p>
    <w:p>
      <w:r>
        <w:t>L’octroi de l’assistance judiciaire ne dispense pas la partie du versement des dépens à la partie adverse (art. 122 al. 1 let. d CPC). Vu l’issue du litige, l’intimée a droit à de plein dépens de deuxième instance qui seront arrêtés à 1'000 fr. (art. 3 et 7 al. 1 TDC [tarif des dépens en matière civile du 23 novembre 2010 ; RSV 270.11.6]). Par ces motifs, le juge délégué de la Cour d’appel civile prononce : I. L’appel est rejeté. II. L'ordonnance est confirmée. III. Les frais judiciaires de deuxième instance, arrêtés à 600 fr. (six cents francs) pour l’appelant B.________, sont provisoirement laissés à la charge de l’Etat. IV. L’indemnité d’office de Me Sébastien Thüler, conseil de l’appelant, est arrêtée à 2'399 fr. 75 (deux mille trois cent nonante-neuf francs et septante-cinq centimes), TVA et débours compris. V. L’indemnité d’office de Me Samuel Pahud, conseil de l’intimée, est arrêtée à 2'095 fr. 20 (deux mille nonante-cinq francs et vingt centimes), TVA et débours compris. VI. Les bénéficiaires de l’assistance judiciaire sont, dans la mesure de l’art. 123 CPC, tenus au remboursement des frais judiciaires et de l’indemnité à leur conseil d’office mis à la charge de l’Etat. VII. L’appelant B.________ doit verser à l’intimée K.________ la somme de 1'000 fr. (mille francs) à titre de dépens de deuxième instance. VIII. L’arrêt est exécutoire. Le juge délégué : La greffière : Du Le présent arrêt, dont la rédaction a été approuvée à huis clos, est notifié en expédition complète à : ‑ Me Sébastien Thüler, avocat (pour B.________), ‑ Me Samuel Pahud, avocat (pour K.________),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