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42 vom 21. Dezember 2016</w:t>
      </w:r>
    </w:p>
    <w:p>
      <w:r>
        <w:t>VD Tribunal cantonal, 2016-12-21, FR</w:t>
      </w:r>
    </w:p>
    <w:p>
      <w:r>
        <w:rPr>
          <w:b/>
        </w:rPr>
        <w:t xml:space="preserve">Quelle: </w:t>
      </w:r>
      <w:r>
        <w:t>https://mcp.opencaselaw.ch/entscheid/vd_findinfo_HC___2017___42</w:t>
      </w:r>
    </w:p>
    <w:p>
      <w:r>
        <w:t>FR: VD_FINDINFO HC / 2017 / 42 du 21 décembre 2016</w:t>
      </w:r>
    </w:p>
    <w:p>
      <w:r>
        <w:t>IT: VD_FINDINFO HC / 2017 / 42 del 21 dicembre 2016</w:t>
      </w:r>
    </w:p>
    <w:p>
      <w:pPr>
        <w:pStyle w:val="Heading2"/>
      </w:pPr>
      <w:r>
        <w:t>Regeste</w:t>
      </w:r>
    </w:p>
    <w:p>
      <w:r>
        <w:t>AMENDE, DÉFAUT{CONTUMACE}, PROCÉDURE DE CONCILIATION | 128 al. 1 CPC (CH), 147 CPC (CH), 204 al. 1 CPC (CH)</w:t>
      </w:r>
    </w:p>
    <w:p>
      <w:pPr>
        <w:pStyle w:val="Heading2"/>
      </w:pPr>
      <w:r>
        <w:t>Erwägungen</w:t>
      </w:r>
    </w:p>
    <w:p>
      <w:r>
        <w:rPr>
          <w:b/>
        </w:rPr>
        <w:t>E. 4</w:t>
      </w:r>
    </w:p>
    <w:p>
      <w:r>
        <w:t>En définitive, le recours doit être admis et la décision entreprise réformée en ce sens que l’amende disciplinaire est annulée. Les frais judiciaires de deuxième instance, arrêtés à 100 fr. (art. 69 al. 1 TFJC [tarif des frais judiciaires en matière civile du 28 septembre 2010 ; RSV 270.11.5]), sont laissés à la charges de l'Etat (art. 107 al. 2 CPC). Les locataires n'étant pas concernés par l'amende ne sont pas intimés au recours et n'ont donc pas été interpellés sur le sort de celui-ci, ce qui exclut l'allocation de dépens. Par ces motifs, la Chambre des recours civile du Tribunal cantonal, prononce : I. Le recours est admis. II. La décision est réformée en ce sens que l’amende disciplinaire est annulée. III. Les frais judiciaires de deuxième instance, arrêtés à 100 fr. (cent francs), sont laissés à la charge de l’Etat. IV. L’arrêt est exécutoire. Le président :               La greffière : Du L'arrêt qui précède, dont la rédaction a été approuvée à huis clos, est notifié à : ‑ Me Serge Demierre pour N.________ et G.________, ‑ Me Jacques Micheli pour A.L.________ et B.L.________.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