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40 vom 12. Januar 2017</w:t>
      </w:r>
    </w:p>
    <w:p>
      <w:r>
        <w:t>VD Tribunal cantonal, 2017-01-12, FR</w:t>
      </w:r>
    </w:p>
    <w:p>
      <w:r>
        <w:rPr>
          <w:b/>
        </w:rPr>
        <w:t xml:space="preserve">Quelle: </w:t>
      </w:r>
      <w:r>
        <w:t>https://mcp.opencaselaw.ch/entscheid/vd_findinfo_HC___2017___40</w:t>
      </w:r>
    </w:p>
    <w:p>
      <w:r>
        <w:t>FR: VD_FINDINFO HC / 2017 / 40 du 12 janvier 2017</w:t>
      </w:r>
    </w:p>
    <w:p>
      <w:r>
        <w:t>IT: VD_FINDINFO HC / 2017 / 40 del 12 gennaio 2017</w:t>
      </w:r>
    </w:p>
    <w:p>
      <w:pPr>
        <w:pStyle w:val="Heading2"/>
      </w:pPr>
      <w:r>
        <w:t>Regeste</w:t>
      </w:r>
    </w:p>
    <w:p>
      <w:r>
        <w:t>HYPOTHÈQUE LÉGALE DES ARTISANS ET ENTREPRENEURS, MESURE PROVISIONNELLE, FORMALISME EXCESSIF, CONCLUSIONS, REPRÉSENTATION | 839 al. 3 CC, 961 al. 3 CC, 32 al. 1 CO, 32 al. 2 CO, 32 CO, 29 al. 2 Cst.</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références citées).</w:t>
      </w:r>
    </w:p>
    <w:p>
      <w:r>
        <w:rPr>
          <w:b/>
        </w:rPr>
        <w:t>E. 3.1</w:t>
      </w:r>
    </w:p>
    <w:p>
      <w:r>
        <w:t>L'appelant invoque une violation du principe ne ultra petita . Il relève que les conclusions de la partie adverse n'énoncent pas l'identité du bénéficiaire de l'inscription provisoire, de sorte que le premier juge n'était pas en mesure de la reprendre dans le dispositif de sa décision sans modifier les conclusions déposées.</w:t>
      </w:r>
    </w:p>
    <w:p>
      <w:r>
        <w:rPr>
          <w:b/>
        </w:rPr>
        <w:t>E. 3.2</w:t>
      </w:r>
    </w:p>
    <w:p>
      <w:r>
        <w:t>II convient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références). Le principe de disposition n'interdit cependant pas au tribunal de déterminer le sens véritable des conclusions et de statuer sur cette base, plutôt que selon leur libellé inexact (TF 5A_657/2014 du 27 avril 2015 consid. 8.1; 5A_621/2012 du 20 mars 2013 consid. 4.3.1 et la référence). Les conclusions doivent en effet être interprétées selon le principe de la confiance, à la lumière de la motivation de l'acte (ATF 123 IV 125 consid. 1 p. 127; 105 II 149 consid. 2a p. 152; TF 4A_375/2012 du 20 novembre 2012 consid. 1.2, non publié in ATF 139 III 24, et les références ; TF 5A_527/2016 du 16 novembre 2016 consid. 3.3.1). Il découle du principe de l'interdiction du formalisme excessif (art. 29 al. 1 Cst. [Constitution fédérale de la Confédération suisse du 18 avril 1999 ; RS 101])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w:t>
      </w:r>
    </w:p>
    <w:p>
      <w:r>
        <w:rPr>
          <w:b/>
        </w:rPr>
        <w:t>E. 3.3</w:t>
      </w:r>
    </w:p>
    <w:p>
      <w:r>
        <w:t>En l'occurrence, les écritures de première instance, et plus précisément la requête de mesures provisionnelles, énoncent clairement l'identité du bénéficiaire de l'inscription provisoire et ce tant sur la page de garde que dans la partie en fait, puis dans la partie en droit du mémoire. Or, conformément à la jurisprudence précitée, les conclusions doivent être interprétées selon le principe de la confiance, à la lumière de la motivation de l'acte. Partant, comme le premier juge, on doit admettre que les conclusions de la requérante sont amplement suffisantes à la lumière de la motivation de son acte.</w:t>
      </w:r>
    </w:p>
    <w:p>
      <w:r>
        <w:rPr>
          <w:b/>
        </w:rPr>
        <w:t>E. 4.1</w:t>
      </w:r>
    </w:p>
    <w:p>
      <w:r>
        <w:t>L'appelant invoque une violation des art. 839 al. 3 et 961 al. 3 CC. Il relève tout d'abord que le prix prévu contractuellement par 350'000 fr. était ferme et non révisable, qu’il n'a jamais eu connaissance du devis par 21'220 fr. 75 concernant les travaux de remplacement de la chaudière et du boiler et que les éléments contenus dans ce devis faisaient par ailleurs partie intégrante de l'offre et ne pouvaient donc être soumis à une quelconque plus-value. Il se prévaut ensuite de l'inexistence de pouvoirs de représentation de K.________ concernant les prétentions soumises à plus-values.</w:t>
      </w:r>
    </w:p>
    <w:p>
      <w:r>
        <w:rPr>
          <w:b/>
        </w:rPr>
        <w:t>E. 4.2.1</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de l'hypothèque légale doit être obtenue au plus tard dans les quatre mois qui suivent l'achèvement des travaux (art. 839 al. 2 CC). Par le terme "obtenue", le texte légal indique que non seulement la réquisition, mais aussi l'inscription du droit au Registre foncier doivent intervenir dans les quatre mois (TF 5A 933/2014 du 16 avril 2015, consid. 3.3.1). Ce délai de péremption ne peut être prolongé ou restitué, mais il peut être sauvegardé par l'annotation d'une inscription provisoire. Compte tenu de la nature de ce délai, l'obtention en temps utile de cette inscription provisoire est la seule manière dont l'entrepreneur peut sauvegarder ses droits (TF 5P.344/2005 du 23 décembre 2005, consid. 3.1 ; ATF 126 III 462 consid. 2c/aa ; ATF 119 II 429 consid. 3a-b). Par conséquent, si, pour une raison ou pour une autre, l'inscription provisoire opérée en temps utile a été radiée, l'entrepreneur ne peut requérir la réinscription provisoire de son hypothèque qu'à la condition que le délai de l'art. 839 al. 2 CC ne soit pas encore échu (TF 5P.344/2005 du 23 décembre 2005, consid. 3.1 ; ATF 119 II 429 consid. 3c in fine). C'est la raison pour laquelle il a été jugé que le recours dirigé contre un refus d'inscription provisoire d'hypothèque légale ne présente plus d'intérêt actuel et pratique pour l'entrepreneur si l'autorité de recours ne peut statuer dans les quatre mois de l'art. 839 al. 2 CC. Passé ce délai, en effet, l'entrepreneur ne pourrait de toute manière plus, même en cas d'admission du recours, acquérir le droit de gage auquel il prétend, dès lors que, son titre légal d'acquisition étant périmé, le conservateur devrait refuser de procéder à l'inscription, dont l'effet est constitutif. Aussi, passé le délai de l'art. 839 al. 2 CC, un recours contre le refus d'inscrire provisoirement une hypothèque légale des artisans et entrepreneurs n'a plus d'objet, à moins que l'inscription ait été préalablement ordonnée et exécutée à titre superprovisionnel et qu'elle figure toujours au registre foncier au moment où l'autorité de recours se prononce (TF 5P.344/2005 précité). Conformément à l'art. 961 al. 3 CC, le juge autorise l'inscription provisoire si le droit allégué lui paraît exister. L'inscription peut être requise par voie de mesures provisionnelles et, en cas d'urgence particulière, par voie de mesures superprovisionnelles (art. 265 al. 1 CPC).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(TF 5A_933/2014 du 16 avril 2015, consid. 3.3.2 ; TF 5A_420/2014 du 27 novembre 2014, consid. 3.2 ; TF 5D_116/2014 du 13 octobre 2014 consid. 5.3). A moins que le droit à la constitution de l'hypothèque n'existe manifestement pas, le juge qui en est requis doit ordonner l'inscription provisoire. Ainsi,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5A_420/2014 du 27 novembre 2014, consid. 3.2 ; TF 5A_475/2010 du 15 septembre 2010, consid. 3.1.2 et les réf. citées).</w:t>
      </w:r>
    </w:p>
    <w:p>
      <w:r>
        <w:rPr>
          <w:b/>
        </w:rPr>
        <w:t>E. 4.2.2</w:t>
      </w:r>
    </w:p>
    <w:p>
      <w:r>
        <w:t>Aux termes de l'art. 32 al. 1 CO (Code des obligations du 30 mars 1911; RS 220), les droits et obligations dérivant d'un contrat fait au nom d'une autre personne par un représentant autorisé passent au représenté. Il s'ensuit que le représentant n'est pas lié par l'acte accompli.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p. 64 et les arrêts cités; arrêt 4A_313/2010 du 3 septembre 2010 consid. 3.4.1). Ainsi, deux conditions doivent être réunies pour que l'acte accompli par le représentant lie le représenté selon l'art. 32 al. 1 et 2 CO : il faut, d'une part, que le représentant agisse au nom d'autrui et, d'autre part, qu'il dispose des pouvoirs nécessaires à cet effet (Chappuis, in Commentaire romand, 2 e éd. 2012, n. 10 ad art. 32 CO). Lorsqu'un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par le représenté (art. 33 al. 3, 34 al. 3 et 37 CO; ATF 131 III 511 consid. 3.1 p. 517).</w:t>
      </w:r>
    </w:p>
    <w:p>
      <w:r>
        <w:rPr>
          <w:b/>
        </w:rPr>
        <w:t>E. 4.3.1</w:t>
      </w:r>
    </w:p>
    <w:p>
      <w:r>
        <w:t>L'appelant explique que le contrat s'entendait à un prix ferme et non révisable de 350'000 fr. et que l'offre initiale comprenait expressément « les travaux de chauffage installations sanitaire selon soumission », de sorte que le changement de la chaudière et du boiler ne pouvait donner lieu à une plus-value, ces travaux étant déjà inclus dans l'offre de base. On doit tout d'abord relever que le contrat conclu entre les parties n'excluait ni d'éventuelles plus-values, ni une rémunération complémentaire en raison de celles-ci. L'art. 3.4 du contrat en question précise que l'entrepreneur renonce expressément à réclamer du Maître de l'ouvrage ou de la Direction des travaux une rémunération complémentaire, sous quelque forme que ce soit et pour n'importe quel motif, en relation avec les travaux définis aux art. 1 et 2 du présent contrat. L'art. 3.5 prévoit que les travaux supplémentaires se feront sur la base des prix de l'offre de l'entrepreneur, acceptés par le maître de l'ouvrage. Les devis complémentaires demandés par la Direction des travaux seront chiffrés aux conditions du contrat de base, incluant le niveau des prix unitaires, ainsi que tous les rabais et escompte prévus par l'offre initiale ou les offres ultérieures s'ils ont plus élevés. L'art. 3.6 mentionne que toutes prétentions à des plus-values, autres que celles qui auraient été discutées et acceptées par écrit par le Maître de l'ouvrage, sont exclues. En l'occurrence, l'offre initiale du 1 er juillet 2014, qui prévoyait un prix total de 350'000 fr., comprenait les travaux de chauffage installation sanitaire selon soumission pour un montant de 50'000 francs. Or, la soumission en question ne prévoyait pas un changement des installations existantes, à savoir de la chaudière et du boiler. Au contraire, cette soumission prévoyait la fourniture et la pose d'un système de chauffage au sol adapté à la chaufferie à gaz existante. Ainsi, contrairement aux allégations de l'appelant, on ne saurait admettre que les travaux entrepris, soit le changement de la chaudière et du boiler, étaient déjà compris dans l'offre de base. Par ailleurs, dans son devis, l'intimée a indiqué les motifs justifiant le remplacement de ces éléments. Enfin, on doit relever que ces travaux et les prix y relatifs ont été acceptés par le représentant de l'appelant.</w:t>
      </w:r>
    </w:p>
    <w:p>
      <w:r>
        <w:rPr>
          <w:b/>
        </w:rPr>
        <w:t>E. 4.3.2</w:t>
      </w:r>
    </w:p>
    <w:p>
      <w:r>
        <w:t>L'appelant se prévaut également de l'inexistence de pouvoirs de représentation de K.________ concernant les prétentions soumises à plus-values. Le premier juge a retenu que l'intimée pouvait raisonnablement penser que l'architecte K.________ agissait au nom et pour le compte de l'appelant. Cette appréciation ne peut être que suivie à ce stade de la procédure. En effet, le contrat d'entreprise liant les parties et signé le 17 juillet 2015, et plus précisément son article 3.6 précise certes que toute prétention à des plus-values, autres que celles qui aurait été discutées et acceptées par écrit par le Maître de l'ouvrage, sont exclues. Reste que le même contrat prévoit également, en première page comportant l'intitulé du contrat ainsi que la désignation des parties, que le Maître d'ouvrage est représenté par son architecte, soit la Direction des travaux. Par ailleurs, il est courant, dans le domaine de la construction, que le maître de l'ouvrage délègue à la direction des travaux la prise de décisions sur le chantier. Pour le reste, il n'est à juste titre pas contesté que l'architecte avait connaissance et donc consenti à la réalisation des travaux comportant des plus-values, l'absence de signature de l'architecte sur les devis n'ayant aucune incidence.</w:t>
      </w:r>
    </w:p>
    <w:p>
      <w:r>
        <w:rPr>
          <w:b/>
        </w:rPr>
        <w:t>E. 4.3.3</w:t>
      </w:r>
    </w:p>
    <w:p>
      <w:r>
        <w:t>A ce stade de la procédure, les éléments au dossier ne permettent ainsi pas de retenir que la créance de l'intimée serait hautement invraisemblable.</w:t>
      </w:r>
    </w:p>
    <w:p>
      <w:r>
        <w:rPr>
          <w:b/>
        </w:rPr>
        <w:t>E. 5</w:t>
      </w:r>
    </w:p>
    <w:p>
      <w:r>
        <w:t>Compte tenu de ce qui précède, l'appel doit être rejeté et l'ordonnance attaquée confirmée. Les frais judiciaires de deuxième instance, arrêtés à 800 fr. (art. 65 al. 1 TFJC [tarif des frais judiciaires civils du 28 septembre 2010 ; RSV 270.11.5]), seront mis à la charge de l'appelant T.________ qui succombe (art. 106 al. 1 CPC). L'intimée n'ayant pas été invitée à se déterminer sur l'appel, il n'y a pas lieu de lui allouer des dépens. Par ces motifs, la juge déléguée de la Cour d’appel civile prononce : I. L’appel est rejeté. II. L’ordonnance est confirmée. III. Les frais judiciaires de deuxième instance, arrêtés à 800 fr. (huit cents francs), sont mis à la charge de l'appelant T.________. IV. L'arrêt est exécutoire. La juge déléguée : La greffière : Du Le présent arrêt, dont la rédaction a été approuvée à huis clos, est notifié en expédition complète à : ‑ Me Etienne Campiche (pour T.________), ‑ Me Tiphaine Chappuis (pour M.________ SA), et communiqué, par l'envoi de photocopies, à : ‑ M. le Juge délégué de la Chambre patrimoniale cantonale.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