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373 vom 11. Mai 2017</w:t>
      </w:r>
    </w:p>
    <w:p>
      <w:r>
        <w:t>VD Tribunal cantonal, 2017-05-11, FR</w:t>
      </w:r>
    </w:p>
    <w:p>
      <w:r>
        <w:rPr>
          <w:b/>
        </w:rPr>
        <w:t xml:space="preserve">Quelle: </w:t>
      </w:r>
      <w:r>
        <w:t>https://mcp.opencaselaw.ch/entscheid/vd_findinfo_HC___2017___373</w:t>
      </w:r>
    </w:p>
    <w:p>
      <w:r>
        <w:t>FR: VD_FINDINFO HC / 2017 / 373 du 11 mai 2017</w:t>
      </w:r>
    </w:p>
    <w:p>
      <w:r>
        <w:t>IT: VD_FINDINFO HC / 2017 / 373 del 11 maggio 2017</w:t>
      </w:r>
    </w:p>
    <w:p>
      <w:pPr>
        <w:pStyle w:val="Heading2"/>
      </w:pPr>
      <w:r>
        <w:t>Regeste</w:t>
      </w:r>
    </w:p>
    <w:p>
      <w:r>
        <w:t>BAIL À LOYER, EXPULSION DE LOCATAIRE | 257d CO, 257 CPC (CH), 308 al. 1 let. a CPC (CH), 308 al. 2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 CACI 17 mars 2015/129 ; CACI 28 janvier 2015/52 consid. 1a). Lorsque la décision entreprise a été rendue en procédure sommaire, comme c'est le cas dans la procédure en cas clair (art. 248 let. b CPC), le délai d'appel est de dix jours (art. 314 al. 1 CPC).</w:t>
      </w:r>
    </w:p>
    <w:p>
      <w:r>
        <w:rPr>
          <w:b/>
        </w:rPr>
        <w:t>E. 1.2</w:t>
      </w:r>
    </w:p>
    <w:p>
      <w:r>
        <w:t>En l'espèce, le loyer mensuel s'élevant à 5’670 fr., la valeur litigieuse est supérieure à 10'000 fr., de sorte que la voie de l'appel est ouverte (art. 308 al. 2 CPC). Formé en temps utile par la partie bailleresse qui a succombé en première instance et qui y a intérêt (art. 59 al. 2 let. a CPC), l'appel est recevable.</w:t>
      </w:r>
    </w:p>
    <w:p>
      <w:r>
        <w:rPr>
          <w:b/>
        </w:rPr>
        <w:t>E. 2</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4A_312/2013 du 17 octobre 2013 consid. 3.2 ; TF 4A_420/2012 du 7 novembre 2012 consid. 5 ; CACI 24 juin 2015/325 consid. 2 ; CACI 25 novembre 2014/607 consid. 3a).</w:t>
      </w:r>
    </w:p>
    <w:p>
      <w:r>
        <w:rPr>
          <w:b/>
        </w:rPr>
        <w:t>E. 3.1</w:t>
      </w:r>
    </w:p>
    <w:p>
      <w:r>
        <w:t>L’appelant invoque une violation des art. 257 CPC et 257d CO. Il fait valoir qu’il a reçu le paiement de l’acompte de 5'000 fr. le jour même de l’envoi de la mise en demeure. On ne pouvait toutefois s’attendre à ce qu’il consulte son compte bancaire tous les matins afin de pouvoir aviser le jour même son conseil des éventuels paiements reçus. En outre, le courriel qu’il avait reçu le 29 juillet 2016 ne permettait pas de savoir s’il allait effectivement recevoir le paiement annoncé, d’autant que la locataire avait depuis plusieurs mois du retard pour s’acquitter de ses loyers. L’appelant fait également valoir que le montant requis, par 11'340 fr., n’était pas supérieur de plus de 50% au solde encore dû, par 6'340 francs. Pour le surplus, il soutient que le cas serait clair et que les arguments de l’intimée ne seraient pas de nature à faire apparaître le congé comme abusif.</w:t>
      </w:r>
    </w:p>
    <w:p>
      <w:r>
        <w:rPr>
          <w:b/>
        </w:rPr>
        <w:t>E. 3.2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 citées).</w:t>
      </w:r>
    </w:p>
    <w:p>
      <w:r>
        <w:rPr>
          <w:b/>
        </w:rPr>
        <w:t>E. 3.3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Toutefois, commet un abus de droit en procédure le bailleur qui n’informe pas le juge du paiement du loyer dans le délai comminatoire et qui persiste à requérir l’expulsion du locataire (ATF 125 III 257, JdT 1999 II 163 consid. 2a ; CACI 11 septembre 2014/481 consid. 3b ; CACI 1 er octobre 2013/513 consid. 2b). Cette jurisprudence, fondée sur une disposition de droit fédéral (art. 2 CC), reste applicable après l’entrée en vigueur du CPC. Des pièces destinées à établir ce paiement sont dès lors recevables en deuxième instance, indépendamment des conditions de l’art. 317 CPC (CACI 1 er octobre 2013/513 ; Colombini, Condensé de la jurisprudence fédérale et vaudoise dès 2009 en matière de congé donné en raison du défaut de paiement du loyer [art. 257d CO], JdT 2012 III 37, sp. p. 49 ch. 26). Dans un arrêt de principe rendu à cinq juges, la Chambres des recours du Tribunal cantonal a jugé inefficace le congé qui reposait sur une mise en demeure portant sur un montant disproportionné par rapport au loyer effectivement dû (du simple au double). Elle a considéré que le locataire "moyen" qui recevait une telle mise en demeure était non seulement incapable de faire la part des choses mais était d'emblée dissuadé de payer quoi que ce soit d'un montant exagéré dont il ne disposait peut-être pas. Le bailleur contraignait ainsi le locataire à adopter une attitude vraisemblablement différente de celle qu'il aurait eue si la mise en demeure avait porté sur le montant exact. La Chambre des recours a encore précisé qu’on pouvait attendre d'un bailleur, représenté la plupart du temps par un professionnel de l'immobilier, qu’il procède correctement (CREC I 18 janvier 2006/89 consid. 3). Une proportion du simple au double entre le montant effectivement dû et celui réclamé a donc été jugée disproportionnée (confirmé par arrêt rendu à cinq juges CREC I 3 septembre 2010/457 consid. 4 ; CACI 30 mai 2011/97). Il en va de même a fortiori d'une disproportion du simple au triple (CACI 2 janvier 2012/1). Dans un autre arrêt de principe, la Chambre des recours a précisé sa jurisprudence, sans la modifier, en ce sens qu'il n'était pas arbitraire de considérer qu'une sommation portant sur un montant dépassant de 50 % le loyer effectivement dû n'entraînait pas l'inefficacité du congé mais qu'elle pourrait le rendre abusif au sens des art. 271 ss CO, le locataire étant alors dans l'obligation de contester celui-ci dans le délai de l'art. 273 al. 1 CO sous peine de forclusion (CREC I 3 septembre 2010/457 ; Colombini, op. cit., pp. 55s ch. 43). Commet cependant un abus de droit le locataire rompu aux affaires qui invoque la jurisprudence précitée, alors que l’avis comminatoire avait été précédé de deux mises en demeure portant exclusivement sur les arriérés de loyer et d’un autre courrier récapitulant les arriérés de loyer, auquel venait s’ajouter un montant à titre de participation au loyer, ses propres correspondances démontrant qu’il avait compris la distinction entre les deux sortes de dettes individualisées dans la mise en demeure (CACI 7 mai 2012/210). Sans se poser la question de la disproportion, le Tribunal fédéral a considéré que le caractère douteux de certaines créances sur l’avis comminatoire ne suffisait pas pour rendre invalide ce dernier dans son entier lorsque l’intimée ne pouvait ignorer la dette qu’elle devait en tout état de cause payer. L’avis comminatoire vaut ainsi pour les créances qui sont incontestées, en l’occurrence le montant du loyer (TF 4A_306/2015 du 14 octobre 2015 consid. 4). Un congé donné en vertu de l’art. 257d CO alors que le locataire s’est acquitté de l’arriéré de loyer deux ou trois jours, voire un jour après l’expiration du délai comminatoire n’est pas abusif lorsque le locataire ne s’est pas toujours acquitté ponctuellement du loyer jusqu’alors (TF 4A_209/2009 du 3 juin 2009, in CdB 2010 p. 57 ; TF 4A_634/2009 du 3 mars 2010 consid. 2.2.3 ; TF 4A_260/2015 du 4 août 2015 consid. 3, in CdB 2015 p. 124).</w:t>
      </w:r>
    </w:p>
    <w:p>
      <w:r>
        <w:rPr>
          <w:b/>
        </w:rPr>
        <w:t>E. 3.4</w:t>
      </w:r>
    </w:p>
    <w:p>
      <w:r>
        <w:t>En l’espèce, il n’est pas contesté que les parties ont convenu en cours de bail que le loyer, initialement payable par trimestre, serait par la suite payable mensuellement, raison pour laquelle la sommation du 5 août 2016 portait sur les loyers échus des mois de juillet et août 2016. Lorsque la sommation a été adressée à l’intimée, seul était encore exigible un solde de 6'406 fr. 15 compte tenu du paiement de 5'000 fr. intervenu le 3 août 2016 ([11'340 fr. de loyer + 66 fr. 15 d’intérêts] – 5'000 fr. d’acompte). On peut certes relever que, dans sa requête d’expulsion du 1 er novembre 2016, l’appelant aurait dû mentionner le fait qu’un acompte de 5'000 fr. avait été payé le 3 août 2016. Cela n’est toutefois pas déterminant en l’espèce dès lors que, sans se poser la question de la disproportion de la créance figurant dans l’avis comminatoire, le Tribunal fédéral a considéré de manière générale que le caractère douteux de certaines créances sur l’avis comminatoire ne suffisait pas pour rendre invalide ce dernier dans son entier. L’avis comminatoire vaut en tout état de cause pour les créances qui sont évidentes et incontestées, soit en l’occurrence pour le solde des loyers impayés de juillet et août 2016 à hauteur de 6'340 fr. (cf. TF 4A_306/2015 du 14 octobre 2015 consid. 4). A réception de l’avis comminatoire, l’intimée ne pouvait en effet avoir le moindre doute au sujet du bien-fondé et de l’exigibilité de cette créance de l’appelant. Peu importe qu’il ait pu exister un doute sur la validité de l’avis comminatoire relativement aux autres créances, en particulier aux intérêts réclamés, dès lors que l’intimée ne pouvait en aucune façon ignorer ce qu’elle devait encore payer à l’appelant après le versement de son acompte de 5'000 fr., soit le montant de 6'340 francs. Par la suite, soit le 4 novembre 2016, elle a d’ailleurs payé ce montant en indiquant sur son propre compte qu’il s’agissait du deuxième acompte du troisième trimestre 2016. On notera pour le surplus que le montant de l’arriéré qui restait encore dû n’a pas été payé dans le délai de 30 jours imparti par avis comminatoire du 5 août 2016, mais uniquement le 4 novembre 2016, soit avec un retard considérable. Partant, le cas était clair s’agissant de la demeure de la locataire, qui avait du reste très bien compris que le solde des loyers encore dus s’élevait à 6'340 fr. puisqu’elle s’est acquittée de ce montant le 4 novembre 2016, sans que l’on puisse qualifier la démarche de l’appelant d’abusive. En effet, nonobstant l’existence d’un bail commercial et malgré les précédents retards dans le paiement du loyer, l’intimée n’avait jamais été mise en demeure par son bailleur auparavant.</w:t>
      </w:r>
    </w:p>
    <w:p>
      <w:r>
        <w:rPr>
          <w:b/>
        </w:rPr>
        <w:t>E. 3.5</w:t>
      </w:r>
    </w:p>
    <w:p>
      <w:r>
        <w:t>L’intimée se prévaut du fait qu’elle aurait contesté le congé devant la commission de conciliation pour soutenir que la situation en droit ne serait pas claire. On ne voit toutefois pas en quoi le fait de contester la résiliation de bail attesterait du fait que la situation n’est pas claire, sans quoi il serait aisé de mettre systématiquement en échec la procédure en cas clair. Il est en outre usuel que la commission de conciliation sursoie au traitement de tels dossiers en cas de demeure du locataire selon l’art. 257d CO jusqu’à l’issue du litige. On ne saurait en conclure que la deuxième condition à l’application de la procédure en cas clair (art. 257 al. 1 let. b CPC) n’est pas réalisée. Il en résulte que la requête d’expulsion devait être admise sans qu’il faille examiner si la mise en demeure portait sur un montant rendant la résiliation abusive, comme l’a fait le premier juge.</w:t>
      </w:r>
    </w:p>
    <w:p>
      <w:r>
        <w:rPr>
          <w:b/>
        </w:rPr>
        <w:t>E. 4.1</w:t>
      </w:r>
    </w:p>
    <w:p>
      <w:r>
        <w:t>En définitive, l’appel doit être admis et la décision entreprise réformée en ce sens que la requête d’expulsion déposée en procédure de cas clair le 1 er novembre 2016 par T.________ est admise et qu’ordre est donné à L.________SA de quitter et rendre libres les locaux occupés dans l’immeuble sis [...] dans le délai qui sera fixé par le juge de paix, l’huissier de paix étant à défaut chargé de l’exécution forcée, avec au besoin l’ouverture forcée des locaux et le concours des agents de la force publique. Les frais judiciaires de première instance, arrêtés à 480 fr., doivent être mis à la charge de la partie locataire et celle-ci doit verser à la partie bailleresse une indemnité de 1'280 fr. à titre de restitution d’avance de frais de première instance et de défraiement de son représentant professionnel (art. 11 TDC [tarif des dépens en matière civile du 23 novembre 2010; RSV 270.11.6]). Conformément à la pratique constante de la Cour d’appel de céans (cf. CACI</w:t>
      </w:r>
    </w:p>
    <w:p>
      <w:r>
        <w:rPr>
          <w:b/>
        </w:rPr>
        <w:t>E. 4.2</w:t>
      </w:r>
    </w:p>
    <w:p>
      <w:r>
        <w:t>Les frais judiciaires de deuxième instance, arrêtés à 714 fr. (art. 62 al. 1 et 3 TFJC [tarif des frais judiciaires civils du 28 septembre 2010 ; RSV 270.11.5]), seront mis à la charge de l’intimée, qui succombe (art. 106 al. 1 CPC). Celle-ci versera en outre à l’appelant une indemnité de 600 fr. à titre de dépens (art. 12 TDC). L’intimée versera donc la somme totale de 1’314 fr. à l’appelant à titre de restitution de l’avance de frais et de dépens de deuxième instance (art. 111 al. 2 CPC).</w:t>
      </w:r>
    </w:p>
    <w:p>
      <w:r>
        <w:rPr>
          <w:b/>
        </w:rPr>
        <w:t>E. 6</w:t>
      </w:r>
    </w:p>
    <w:p>
      <w:r>
        <w:t>octobre 2016/550), il y a lieu de renvoyer la cause au premier juge afin qu'il fixe à l’intimée, une fois l'arrêt envoyé pour notification aux parties, un délai pour libérer les locaux.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