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344 vom 14. Februar 2017</w:t>
      </w:r>
    </w:p>
    <w:p>
      <w:r>
        <w:t>VD Tribunal cantonal, 2017-02-14, FR</w:t>
      </w:r>
    </w:p>
    <w:p>
      <w:r>
        <w:rPr>
          <w:b/>
        </w:rPr>
        <w:t xml:space="preserve">Quelle: </w:t>
      </w:r>
      <w:r>
        <w:t>https://mcp.opencaselaw.ch/entscheid/vd_findinfo_HC___2017___344</w:t>
      </w:r>
    </w:p>
    <w:p>
      <w:r>
        <w:t>FR: VD_FINDINFO HC / 2017 / 344 du 14 février 2017</w:t>
      </w:r>
    </w:p>
    <w:p>
      <w:r>
        <w:t>IT: VD_FINDINFO HC / 2017 / 344 del 14 febbraio 2017</w:t>
      </w:r>
    </w:p>
    <w:p>
      <w:pPr>
        <w:pStyle w:val="Heading2"/>
      </w:pPr>
      <w:r>
        <w:t>Regeste</w:t>
      </w:r>
    </w:p>
    <w:p>
      <w:r>
        <w:t>AUTORISATION DE PROCÉDER, DÉCISION FINALE, DÉCISION D'IRRECEVABILITÉ | 209 CPC (CH), 236 CPC (CH), 237 CPC (CH), 308 al. 1 let. a CPC (CH)</w:t>
      </w:r>
    </w:p>
    <w:p>
      <w:pPr>
        <w:pStyle w:val="Heading2"/>
      </w:pPr>
      <w:r>
        <w:t>Erwägungen</w:t>
      </w:r>
    </w:p>
    <w:p>
      <w:r>
        <w:rPr>
          <w:b/>
        </w:rPr>
        <w:t>E. 1.1</w:t>
      </w:r>
    </w:p>
    <w:p>
      <w:r>
        <w:t>A teneur des art. 311 al. 1 et 321 al. 1 CPC, l’appel et le recours doivent être introduits par un acte écrit et motivé. Tous deux doivent en outre contenir, sous peine d’irrecevabilité, des conclusions (Jeandin, CPC commenté, Bâle 2011, n. 4 ad art. 311 CPC et n. 5 ad art. 321 CPC).</w:t>
      </w:r>
    </w:p>
    <w:p>
      <w:r>
        <w:rPr>
          <w:b/>
        </w:rPr>
        <w:t>E. 1.2</w:t>
      </w:r>
    </w:p>
    <w:p>
      <w:r>
        <w:t>En l’espèce, l’acte intitulé « appel » a été adressé, selon la page de garde, à la Cour d’appel civile du Tribunal cantonal. Les moyens exposés sous la rubrique « recevabilité » sont en lien avec la recevabilité de l’appel. Il est dès lors manifeste, nonobstant la conclusion tendant à ce que la « Chambre des recours civile » admette le « recours » et l’utilisation des termes « recourants », qu’il s’agit là d’erreurs de plume et que c’est en réalité bien un appel qui est adressé à la Cour d’appel de céans. Les appelants ont en outre adressé à la Chambre des recours civile du Tribunal cantonal un acte de recours distinct, pour le cas où l’appel ne serait pas ouvert. Enfin, on constatera que les appelants ont pris des conclusions formelles, principalement en réforme et subsidiairement en annulation.</w:t>
      </w:r>
    </w:p>
    <w:p>
      <w:r>
        <w:rPr>
          <w:b/>
        </w:rPr>
        <w:t>E. 2</w:t>
      </w:r>
    </w:p>
    <w:p>
      <w:r>
        <w:t>L’appel est dirigé contre le refus du premier juge d’admettre la demande de modification de conclusions formée par les demandeurs à l’audience de conciliation et contre l’autorisation de procéder délivrée à l’issue de cette audience. Les appelants font valoir que l’appel est recevable au vu de la valeur litigieuse de 10'000 fr. mentionnée dans leur requête de conciliation et compte tenu du caractère incident de la décision rendue dans le cadre de la procédure de conciliation. Sur le fond, ils contestent l’appréciation du premier juge selon laquelle la désignation erronée de la partie défenderesse dans les conclusions ne résulterait pas d’une erreur de plume. Ils invoquent la violation des art. 56 et 132 CPC.</w:t>
      </w:r>
    </w:p>
    <w:p>
      <w:r>
        <w:rPr>
          <w:b/>
        </w:rPr>
        <w:t>E. 3.1</w:t>
      </w:r>
    </w:p>
    <w:p>
      <w:r>
        <w:t>L'appel est recevable contre les décisions finales (art. 236 CPC) et les décisions incidentes (art. 237 CPC) de première instance (art. 308 al. 1 let. a CPC), dans les causes non patrimoniales ou dont la valeur litigieuse est supérieure à 10'000 fr. (art. 308 al. 2 CPC). Une décision est finale au sens de l'art. 236 CPC lorsqu'elle met fin à l’instance (au sens procédural), que ce soit par une décision au fond – pour un motif tiré du droit matériel – ou par une décision d'irrecevabilité – pour un motif de procédure (TF 4A_545/2014 du 10 avril 2015 consid. 2.1 ; ATF 134 III 426 consid. 1.1 ; Hohl, Procédure civile, tome I, 2 e éd. 2016, n. 2245 p. 374). Contrairement à la LTF (loi du 17 juin 2005 sur le Tribunal fédéral ; RS 173.110), le CPC ne définit pas la décision partielle, par laquelle le juge statue sur une partie du litige sans mettre fin à l’instance. Selon l’art. 91 LTF, le juge statue sur un objet dont le sort est indépendant de celui qui reste en cause (let. a) ou rend une décision mettant fin à la procédure à l'égard d'une partie des consorts (let. b).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La décision partielle est en réalité une décision "partiellement finale" (Corboz, Commentaire de la LTF, 2 e éd., 2014, n. 7 ad art. 91 LTF). Elle statue définitivement sur une ou plusieurs des conclusions en cause, sans mettre totalement fin à la procédure (cas de cumul objectif et cumul subjectif d'actions).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 CACI 18 mars 2016/167 ; CACI 2013/59 du 28 janvier 2013 ; Jeandin, op. cit., n. 8 ad art. 308 CPC ; Hohl, op. cit., n. 2253 p. 375). Une décision est en outre incidente au sens de l'art. 237 al. 1 CPC Iorsque I'instance de recours pourrait prendre une décision contraire qui mettrait fin au procès et permettrait de réaliser une économie de temps ou de frais appréciable (TF 4A_545/2014 du 10 avril 2015 consid. 2.1 ; Jeandin, op. cit., n. 9 ad art. 308 CPC ; Hohl, op. cit., n. 2248 p. 374).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CPC commenté, 2011, n. 3 ad art. 237 CPC). La décision incidente est sujette à recours immédiat ; elle ne peut être attaquée ultérieurement dans le recours contre la décision finale (art. 237 al. 2 CPC).</w:t>
      </w:r>
    </w:p>
    <w:p>
      <w:r>
        <w:rPr>
          <w:b/>
        </w:rPr>
        <w:t>E. 3.2.1</w:t>
      </w:r>
    </w:p>
    <w:p>
      <w:r>
        <w:t>Selon la jurisprudence, si l'action a été ouverte contre une personne qui n'a pas la qualité pour défendre, il en résulte le rejet de l'action et non son irrecevabilité.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Cette nouvelle requête ne rétroagit toutefois pas à la date de la première requête (art. 63 al. 1 et 2 CPC), de sorte que si le délai de droit matériel a expiré dans l'intervalle, le droit du demandeur peut être paralysé par l'exception de prescription soulevée par le débiteur, respectivement s'est éteint s'il s'agissait d'un délai de péremption (ATF 142 III 782 consid. 3.1.4 et les réf. citées).</w:t>
      </w:r>
    </w:p>
    <w:p>
      <w:r>
        <w:rPr>
          <w:b/>
        </w:rPr>
        <w:t>E. 3.2.2</w:t>
      </w:r>
    </w:p>
    <w:p>
      <w:r>
        <w:t>L’autorisation de procéder est l’acte délivré par l’autorité de conciliation qui permet à l’intéressé de débuter la procédure au fond lorsqu’une tentative de conciliation est exigée par la loi (art. 197 ss CPC). Elle représente une condition de recevabilité de la demande (art. 59 CPC; Bohnet, CPC commenté, 2011, n. 4 ad art. 209 CPC ; TF 4A_399/2016 du 3 février 2017, consid. 5). Faute d'autorisation valable, le tribunal doit d'office déclarer la demande irrecevable (Bohnet, op. cit., n. 4 ad art. 209 CPC et n. 66 ad art. 59 CPC; ATF 139 III 273 consid. 2.1). Sauf cas de la rectification d'une erreur de plume, l'autorisation de procéder doit contenir les mêmes noms des parties que celles figurant dans la requête de conciliation, de même que les conclusions de la demande (art. 209 al. 2 let. a et b CPC).</w:t>
      </w:r>
    </w:p>
    <w:p>
      <w:r>
        <w:rPr>
          <w:b/>
        </w:rPr>
        <w:t>E. 3.3</w:t>
      </w:r>
    </w:p>
    <w:p>
      <w:r>
        <w:t>Le Tribunal fédéral considère de manière générale que l’autorisation de procéder ne constitue pas une décision et qu’aucune voie de droit n’est ouverte à son encontre (ATF 141 III 159 consid. 2.1 ; ATF 140 III 227 consid. 3.1 ; ATF 139 III 273 consid. 2.3, RSPC 2013 p. 400, note Bohnet ; TF 4A_387/2013 du 17 février 2014 consid. 3.2, non publié in ATF 140 III 70 ; TF 5A_38/2016 du 21 avril 2016 consid. 2 ; CREC 16 janvier 2017/9). En l’espèce, en tant qu’il est dirigé contre l’autorisation de procéder, l’appel doit donc être déclaré irrecevable.</w:t>
      </w:r>
    </w:p>
    <w:p>
      <w:r>
        <w:rPr>
          <w:b/>
        </w:rPr>
        <w:t>E. 3.4</w:t>
      </w:r>
    </w:p>
    <w:p>
      <w:r>
        <w:t>La voie de l’appel n’est pas non plus ouverte contre la décision refusant d’autoriser la rectification du libellé des conclusions formées devant l’autorité de conciliation. D’une part, contrairement à ce que soutiennent les appelants, il ne s’agit pas d’une décision incidente au sens de l’art. 237 CPC (cf. consid. 3.1 ci-dessus). D’autre part, cette décision n’a pas de caractère final dès lors qu’une nouvelle requête de conciliation peut être réintroduite en tout temps (cf. ATF 142 III 782 précité). Certes, les intimés se sont opposés à la modification des conclusions au motif que des questions de prescription se poseraient. Il faut à cet égard constater que les appelants n’exposent pas en quoi la décision attaquée aurait concrètement un caractère final, ni en quoi le dépôt d’une nouvelle requête de conciliation, théoriquement envisageable, serait en l’espèce voué à l’échec, par exemple en raison de la perte d’un moyen de droit matériel (par péremption) ou sa paralysie (par prescription). A l’instar de la jurisprudence rendue par la Cour de céans quant à la recevabilité de l’appel contre une décision de restitution de délai, il faut considérer dans le cas d’espèce qu’il appartenait aux appelants d’établir que le refus de leur permettre de modifier le libellé de leurs conclusions entraînait la perte définitive de leur action ou de la possibilité d’ouvrir action (cf. CACI 8 juin 2015/289 consid. 2a ; CACI 25 août 2014/448 consid. 1b). Dès lors qu’ils ne se sont aucunement exprimés sur le caractère final de l’appel et les conséquences de la décision attaquée sur les moyens dont ils disposent à l’encontre des intimés, leur appel se révèle irrecevable.</w:t>
      </w:r>
    </w:p>
    <w:p>
      <w:r>
        <w:rPr>
          <w:b/>
        </w:rPr>
        <w:t>E. 4</w:t>
      </w:r>
    </w:p>
    <w:p>
      <w:r>
        <w:t>En définitive, l’appel doit être déclaré irrecevable selon le mode procédural de l'art. 312 al. 1 CPC. Les frais judiciaires de deuxième instance, arrêtés à 700 fr. (art. 62 al. 1 2 TFJC [tarif des frais judiciaires civils du 28 septembre 2010 ; RSV 270.11.5]), seront mis à la charge des appelants, qui succombent, solidairement entre eux (art. 106 al. 1 CPC). Il n’y a pas lieu à l’allocation de dépens dès lors que les intimés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