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334 vom 3. März 2017</w:t>
      </w:r>
    </w:p>
    <w:p>
      <w:r>
        <w:t>VD Tribunal cantonal, 2017-03-03, FR</w:t>
      </w:r>
    </w:p>
    <w:p>
      <w:r>
        <w:rPr>
          <w:b/>
        </w:rPr>
        <w:t xml:space="preserve">Quelle: </w:t>
      </w:r>
      <w:r>
        <w:t>https://mcp.opencaselaw.ch/entscheid/vd_findinfo_HC___2017___334</w:t>
      </w:r>
    </w:p>
    <w:p>
      <w:r>
        <w:t>FR: VD_FINDINFO HC / 2017 / 334 du 3 mars 2017</w:t>
      </w:r>
    </w:p>
    <w:p>
      <w:r>
        <w:t>IT: VD_FINDINFO HC / 2017 / 334 del 3 marzo 2017</w:t>
      </w:r>
    </w:p>
    <w:p>
      <w:pPr>
        <w:pStyle w:val="Heading2"/>
      </w:pPr>
      <w:r>
        <w:t>Regeste</w:t>
      </w:r>
    </w:p>
    <w:p>
      <w:r>
        <w:t>MESURE DE CONTRAINTE{DROIT DES ÉTRANGERS}, PROCÈS DEVENU SANS OBJET | 5 par. 1 CEDH, 25 al. 1 LVLEtr, 30 LVLEtr, 31 LVLEtr</w:t>
      </w:r>
    </w:p>
    <w:p>
      <w:pPr>
        <w:pStyle w:val="Heading2"/>
      </w:pPr>
      <w:r>
        <w:t>Erwägungen</w:t>
      </w:r>
    </w:p>
    <w:p>
      <w:r>
        <w:rPr>
          <w:b/>
        </w:rPr>
        <w:t>E. 3</w:t>
      </w:r>
    </w:p>
    <w:p>
      <w:r>
        <w:t>Par télécopie du 16 février 2017 le Service de la population (ci-après : le SPOP) a informé la Chambre de céans que J.________ avait quitté la Suisse en date du 15 février 2017 à destination du [...].</w:t>
      </w:r>
    </w:p>
    <w:p>
      <w:r>
        <w:rPr>
          <w:b/>
        </w:rPr>
        <w:t>E. 4</w:t>
      </w:r>
    </w:p>
    <w:p>
      <w:r>
        <w:t>En date du 17 février 2017, le conseil de J.________ a transmis la liste de ses opérations.</w:t>
      </w:r>
    </w:p>
    <w:p>
      <w:r>
        <w:rPr>
          <w:b/>
        </w:rPr>
        <w:t>E. 5.1</w:t>
      </w:r>
    </w:p>
    <w:p>
      <w:r>
        <w:t>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w:t>
      </w:r>
    </w:p>
    <w:p>
      <w:r>
        <w:rPr>
          <w:b/>
        </w:rPr>
        <w:t>E. 5.2</w:t>
      </w:r>
    </w:p>
    <w:p>
      <w:r>
        <w:t>En l’espèce, J.________ a quitté la Suisse le 15 février 2017 à destination du [...] de sorte que le recours tendant à la levée de la détention administrative n’a plus d’objet.</w:t>
      </w:r>
    </w:p>
    <w:p>
      <w:r>
        <w:rPr>
          <w:b/>
        </w:rPr>
        <w:t>E. 6</w:t>
      </w:r>
    </w:p>
    <w:p>
      <w:r>
        <w:t>Le recourant prétend avoir été victime d'une violation de l'art. 5 § 1 CEDH (Convention du 4 novembre 1954 de sauvegarde des droits de l'homme et des libertés fondamentales ; RS 0.101) , soutenant que sa détention serait sans motif et dès lors illicite.</w:t>
      </w:r>
    </w:p>
    <w:p>
      <w:r>
        <w:rPr>
          <w:b/>
        </w:rPr>
        <w:t>E. 6.1</w:t>
      </w:r>
    </w:p>
    <w:p>
      <w:r>
        <w:t>Selon la jurisprudence, lorsqu'un étranger mis en détention administrative a invoqué la violation de l'art. 5 CEDH, il incombe à l'autorité judiciaire d'examiner la licéité de la détention, même si l'étranger a été libéré dans l'intervalle (ATF 137 I 296 ; CREC 1 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II 56 consid. 3.1 ; TF 2C_984/2010 du 20 janvier 2011 consid. 2 ; TF 2C_206/2009 du 29 avril 2009 consid. 4.1).</w:t>
      </w:r>
    </w:p>
    <w:p>
      <w:r>
        <w:rPr>
          <w:b/>
        </w:rPr>
        <w:t>E. 6.2</w:t>
      </w:r>
    </w:p>
    <w:p>
      <w:r>
        <w:t>En l’espèce, le recourant est séparé de son épouse et de ses deux filles qui vivent en Suisse. Entre le 4 juillet 2006 et le 27 mai 2014, il a été condamné à cinq reprises, notamment pour viol, délit et contravention à la Loi fédérale sur les stupéfiants (LStup ; RS 812.121), lésions corporelles simples, menaces et escroquerie à des peines privatives de liberté d’une quotité totale supérieure à trois ans qu’il a purgé notamment aux Etablissements pénitentiaires des Plaines de l’Orbe jusqu’au 23 novembre 2016. J.________ a fait l’objet d’une décision définitive et exécutoire de renvoi de Suisse rendue le 8 mai 2015 par le SPOP, confirmée par la Chambre des recours civile le 14 décembre 2015 puis par arrêt du Tribunal fédéral du 14 janvier 2016. Il s’est vu fixer un délai de départ immédiat dès sa libération, conditionnelle ou non, pour quitter la Suisse, faute de quoi il s’exposait à des moyens de contrainte. Le 23 novembre 2016, J.________ a refusé d’embarquer sur un vol de ligne à destination de son pays d’origine, nonobstant l’avertissement fait le 5 février 2016 par le SPOP que s’il ne quittait pas la Suisse immédiatement dès sa libération, il pourrait être placé en détention administrative dans le cadre de mesures de contrainte. Entendu le jour même par la Juge de paix du district de Lausanne, J.________ a déclaré qu’il ne voulait pas retourner dans son pays d’origine, craignant pour sa sécurité et sa vie et n’y connaissant personne. Il acceptait en revanche d’être renvoyé au Bénin et a déclaré qu’il ferait les démarches nécessaires à son admission dans ce pays. Il a encore ajouté souhaiter pouvoir rester en Suisse auprès de ses enfants et pouvoir régler la procédure de divorce encore pendante. Au vu des éléments qui précèdent, force est de constater qu'il existait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23 novembre 2016 et qu’il a finalement pu quitter la Suisse le 15 février 2017, soit moins de trois mois après le début de sa détention. En définitive, la détention administrative étant intervenue dans le respect du cadre légal, le recourant n'a pas été détenu illégalement en violation de l'art. 5 § 1 CEDH.</w:t>
      </w:r>
    </w:p>
    <w:p>
      <w:r>
        <w:rPr>
          <w:b/>
        </w:rPr>
        <w:t>E. 7</w:t>
      </w:r>
    </w:p>
    <w:p>
      <w:r>
        <w:t>Au vu de ce qui précède, il y a lieu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Me Léonard Bruchez a indiqué, dans la liste d'opérations produite le 17 février 2017, que son stagiaire avait consacré 5h50 à l’exercice de ce mandat. Au vu de la nature du litige, il y a lieu d’admettre cette durée. Au tarif horaire de 110 fr. pour l’avocat-stagiaire (art. 2 al. 1 let. b RAJ [règlement du 7 décembre 2010 sur l'assistance judiciaire en matière civile ; RSV 211.02.3] par analogie), l’indemnité de Me Léonard Bruchez s'élève ainsi à 638 fr., montant auquel s’ajoutent les débours annoncés par 20 fr. et la TVA sur le tout par 52 fr. 65, soit un montant de 710 fr. 65 au total. Par ces motifs, la Chambre des recours civile du Tribunal cantonal, prononce : I. Le recours est sans objet. II. La cause est rayée du rôle. III. L'indemnité d'office de Me Léonard Bruchez, conseil du recourant, est arrêtée à 710 fr. 65 fr. (sept cent dix francs et soixante-cinq centimes), TVA et débours compris. IV. L'arrêt, rendu sans frais, est exécutoire. La présidente :               La greffière : Du L'arrêt qui précède, dont la rédaction a été approuvée à huis clos, est notifié à : ‑ Me Léonard Bruchez, avocat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