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32 vom 11. November 2016</w:t>
      </w:r>
    </w:p>
    <w:p>
      <w:r>
        <w:t>VD Tribunal cantonal, 2016-11-11, FR</w:t>
      </w:r>
    </w:p>
    <w:p>
      <w:r>
        <w:rPr>
          <w:b/>
        </w:rPr>
        <w:t xml:space="preserve">Quelle: </w:t>
      </w:r>
      <w:r>
        <w:t>https://mcp.opencaselaw.ch/entscheid/vd_findinfo_HC___2017___32</w:t>
      </w:r>
    </w:p>
    <w:p>
      <w:r>
        <w:t>FR: VD_FINDINFO HC / 2017 / 32 du 11 novembre 2016</w:t>
      </w:r>
    </w:p>
    <w:p>
      <w:r>
        <w:t>IT: VD_FINDINFO HC / 2017 / 32 del 11 novembre 2016</w:t>
      </w:r>
    </w:p>
    <w:p>
      <w:pPr>
        <w:pStyle w:val="Heading2"/>
      </w:pPr>
      <w:r>
        <w:t>Regeste</w:t>
      </w:r>
    </w:p>
    <w:p>
      <w:r>
        <w:t>BAIL À LOYER, RÉSILIATION IMMÉDIATE, ADMISSION DE LA DEMANDE, FAUX MATÉRIEL DANS LES TITRES, JUSTE MOTIF | 257f CO, 266g CO</w:t>
      </w:r>
    </w:p>
    <w:p>
      <w:pPr>
        <w:pStyle w:val="Heading2"/>
      </w:pPr>
      <w:r>
        <w:t>Erwägungen</w:t>
      </w:r>
    </w:p>
    <w:p>
      <w:r>
        <w:rPr>
          <w:b/>
        </w:rPr>
        <w:t>E. 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Interjeté en temps utile par une partie qui y a un intérêt dans un litige où la valeur litigieuse de première instance, calculée selon l’art. 92 CPC,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citées).</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3.2</w:t>
      </w:r>
    </w:p>
    <w:p>
      <w:r>
        <w:t>En l'espèce, à l'exception de la pièce 8, les autres pièces ont déjà été produites en première instance, de sorte qu'elles sont recevables. La pièce 8, soit le procès-verbal de l’audition de l'intimée du 30 juin 2016 par devant le procureur de l'arrondissement de La Côte, est postérieure à l'audience du 19 janvier 2016, de sorte qu’elle est également recevable.</w:t>
      </w:r>
    </w:p>
    <w:p>
      <w:r>
        <w:rPr>
          <w:b/>
        </w:rPr>
        <w:t>E. 4.1</w:t>
      </w:r>
    </w:p>
    <w:p>
      <w:r>
        <w:t>Les appelants invoquent une violation de leur droit d'être entendus. Ils affirment que les premiers juges auraient commis un déni de justice en n’interrogeant pas l’intimée et en ne lui soumettant pas, lors de l'audience du 19 janvier 2016, le questionnaire qu'ils avaient produit quelques jours auparavant.</w:t>
      </w:r>
    </w:p>
    <w:p>
      <w:r>
        <w:rPr>
          <w:b/>
        </w:rPr>
        <w:t>E. 4.2</w:t>
      </w:r>
    </w:p>
    <w:p>
      <w:r>
        <w:t>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 4 ad art. 54 CPC). Le droit d'être entendu inclut celui de faire administrer des preuves à l'appui de ses demandes ou défenses en justice (art. 29 al. 2 Cst [Constitution fédérale de la Confédération suisse ; RS 101] ; Schweizer, CPC Commenté, op. cit.,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Le droit d'être entendu étant de nature formelle, sa violation conduit à l'annulation de la décision attaquée, indépendamment des chances de succès du recours sur le fond (ATF 137 I 195 consid. 2.2 ; ATF 135 I 279 consid. 2.6.1).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w:t>
      </w:r>
    </w:p>
    <w:p>
      <w:r>
        <w:rPr>
          <w:b/>
        </w:rPr>
        <w:t>E. 4.3</w:t>
      </w:r>
    </w:p>
    <w:p>
      <w:r>
        <w:t>En l'espèce, les appelants se plaignent que le questionnaire qu'ils ont adressé au Tribunal avant l'audience du 19 janvier 2016 n'a pas été soumis à la locataire et que la question du « faux » contrat n'aurait pas été abordée lors de cette audience. Le procès-verbal de l'audience du 19 janvier 2016 indique que les parties ont été interrogées sur les faits de la cause ainsi que sur leurs moyens. Par la suite, le témoin [...] a été entendu et la clé USB produite par les défendeurs leur a été restituée s'agissant d'une preuve obtenue de manière illicite. Ensuite, le procès-verbal mentionne que sans autre réquisition, l'instruction a été close. Il est douteux que la question de la fausseté du contrat produit sur format Word n'ait pas été abordée au cours de cette audience, dès lors que les moyens de preuve ont été discutés et que les deux contrats originaux ont été produits en début d’audience. En outre, la position de la locataire sur le prétendu « faux » contrat était connue, de sorte que le mode de preuve consistant à lui soumettre un questionnaire à ce sujet apparaît vain. Au demeurant, le questionnaire a été soumis à la locataire par le procureur dans le cadre de la procédure pénale ouverte contre elle et, au vu de ses réponses, il ne semble pas possible d'affirmer qu'elle aurait établi un faux dans les titres. Toutefois, même à considérer qu’il y aurait eu un vice, celui-ci aurait été réparé par la production du procès-verbal d’audition de N.________ devant le procureur devant la Cour de céans.</w:t>
      </w:r>
    </w:p>
    <w:p>
      <w:r>
        <w:rPr>
          <w:b/>
        </w:rPr>
        <w:t>E. 5.1</w:t>
      </w:r>
    </w:p>
    <w:p>
      <w:r>
        <w:t>Les appelants soutiennent que les conditions de l'art. 257f al. 4 CO seraient remplies, la locataire n'ayant pas hésité à créer et à produire à trois reprises un faux contrat de bail, pour tenter de leur nuire.</w:t>
      </w:r>
    </w:p>
    <w:p>
      <w:r>
        <w:rPr>
          <w:b/>
        </w:rPr>
        <w:t>E. 5.2</w:t>
      </w:r>
    </w:p>
    <w:p>
      <w:r>
        <w:t>Aux termes de l'art. 257f CO, le locataire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d'habitations et de locaux commerciaux peuvent être résiliés moyennant un délai de congé minimum de 30 jours pour la fin d'un mois (al. 3). Les baux d'habitations et de locaux commerciaux peuvent toutefois être résiliés avec effet immédiat, si le locataire cause volontairement un préjudice grave à la chose (al. 4). La résiliation « exceptionnellement extraordinaire » visée à l'al. 4 (sans délai, sans protestation préalable, sans preuve que la poursuite du bail devient insupportable, effet immédiat) peut être signifiée par le bailleur s'il observe que le locataire provoque intentionnellement ou par dol éventuel un préjudice grave. Ainsi en est-il d'un acte volontaire d'incendie ou de sabotage des locaux loués à titre d'habitation ou commercial, ou d'atteintes délibérées aux droits de la personnalité de voisins ou à leurs biens (Bohnet/Carron/Montini, Droit du bail à loyer et à ferme, Commentaire Pratique, Bâle 2017, n. 40 ad art. 257f CO). La loi présume que le maintien du bail ne peut plus être raisonnablement exigé du bailleur ; il n'aura donc pas à prouver que la continuation du contrat est insupportable. Le Tribunal fédéral a relevé que le libellé de l'art. 257f CO est trop restrictif et que celui-ci s'applique en réalité dans tous les cas où le locataire use de la chose en violation des stipulations du contrat (ATF 132 III 109 consid. 5 ; ATF 123 III 124 consid. 2a).</w:t>
      </w:r>
    </w:p>
    <w:p>
      <w:r>
        <w:rPr>
          <w:b/>
        </w:rPr>
        <w:t>E. 5.3</w:t>
      </w:r>
    </w:p>
    <w:p>
      <w:r>
        <w:t>En l'espèce, la production d'un faux contrat de bail dans le cadre d'une procédure judiciaire ne tombe pas sous le coup de l'art. 257f CO, dès lors qu'il s'agit d'une obligation qui n'a pas trait à l'usage de la chose ou au contrat de bail proprement dit. La jurisprudence a certes admis qu’une résiliation était possible dans ces hypothèses ; toutefois celle-ci n'est pas fondée sur l'art. 257f al. 3 ou 4 CO, mais sur les articles régissant la demeure (art. 107-109 CO, cf. ATF 123 III 124) ou encore sur l'art. 266g CO (TF 4C.255/2004 du 17 novembre 2004 consid. 5). C'est en conséquence à juste titre que les premiers juges ont considéré que ce motif n'était pas en lien direct avec le contrat de bail ou l'usage des locaux litigieux et qu’il ne pouvait donc pas fonder une résiliation selon l’art. 257f CO.</w:t>
      </w:r>
    </w:p>
    <w:p>
      <w:r>
        <w:rPr>
          <w:b/>
        </w:rPr>
        <w:t>E. 6.1</w:t>
      </w:r>
    </w:p>
    <w:p>
      <w:r>
        <w:t>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 ATF 123 III 124 consid. 3d). Toutefois, le juge ne peut pas convertir un congé extraordinaire inefficace en un congé ordinaire (ATF 135 III 441 consid. 3).</w:t>
      </w:r>
    </w:p>
    <w:p>
      <w:r>
        <w:rPr>
          <w:b/>
        </w:rPr>
        <w:t>E. 6.2</w:t>
      </w:r>
    </w:p>
    <w:p>
      <w:r>
        <w:t>L'art. 266g CO confère un droit de congé extraordinaire pour justes motifs lorsque l'exécution du contrat devient intolérable pour une partie ; la résiliation doit tout au plus respecter le délai de congé légal (cf. art. 266b-266f CO). Cette disposition est subsidiaire par rapport aux autres congés extraordinaires, notamment ceux des art. 257d ou 257f al. 3 CO. 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Les circonstances invoquées doivent être si graves qu'elles rendent la poursuite du bail jusqu'à son terme objectivement insupportable ;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Les motifs justifiant un congé anticipé au sens de l'art. 266g al. 1 CO peuvent résider dans la personne du destinataire du congé, indépendamment de la violation d'une obligation spécifiquement liée au bail. Ainsi en va-t-il par exemple d'un comportement pénalement répréhensible du locataire à l'égard du bailleur ou de sa famille ou d'une attitude propre à discréditer son partenaire et à lui porter préjudice (TF 4A_2012015 du 13 juillet 2015 consid. 3.2 ; Colombini, Pratique récente en matière de résiliation de bail, in 19 e Séminaire sur le droit du bail, pp. 221 ss, spéc. pp. 244-248).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(TF 4A_142/2012 du 17 avril 2012 consid. 3.1 et les arrêts cités).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(arrêt précité du 17 avril 2012 consid. 3.1 et les arrêts cités).</w:t>
      </w:r>
    </w:p>
    <w:p>
      <w:r>
        <w:rPr>
          <w:b/>
        </w:rPr>
        <w:t>E. 6.3</w:t>
      </w:r>
    </w:p>
    <w:p>
      <w:r>
        <w:t>Les appelants affirment dans leur écriture du 10 septembre 2015 que « le faux contrat de bail de Madame N.________ est apparu, sorti de nulle part, le 29 août 2014, soit 11 jours après que le bail de Madame N.________ ait été résilié » et que ce faux contrat « est apparu simultanément à la demande de Madame N.________ du remboursement de ses frais d'électricité par les bailleurs pour le montant de 6'825 .- ». Ce contrat sous format Word a en effet été produit à l'appui de la requête déposée devant la Commission de conciliation le 28 août 2014, puis devant le Tribunal des baux le 12 novembre 2014. Dans leur acte, les appelants affirment encore que l'analyse des documents remis le 27 janvier 2015 par H.________, qui s'était chargé de la vente de l'immeuble, leur a permis de comprendre la supercherie et ils soutiennent que ces documents permettraient d’établir que le « faux » contrat de bail n'existait pas en 2012 et encore moins en 2009. Ils affirment que la conséquence de la création et de la production du faux contrat a été la résiliation de bail du 2 mars 2015. On ne saurait suivre ce raisonnement. En l’espèce, les appelants ont acquis la parcelle des héritiers de L.________ par contrat du vente du 25 octobre 2012 ; ce contrat de vente indique que le rez-de-chaussée est exploité en tant que café-restaurant, selon un bail commercial dont ils reconnaissent avoir reçu copie et se sont reconnus dûment renseignés sur les droits et obligations à l'égard du locataire. Ils ont en outre participé à la procédure de contestation de la résiliation du congé qui a donné lieu à une transaction devant le Tribunal des baux le 1 er novembre 2013, procédure au cours de laquelle le contrat sur formule officielle a été produit. C'est donc à réception de la requête de conciliation, le 28 août 2014, que les bailleurs pouvaient et devaient savoir qu'un autre contrat de bail sous format Word, ne correspondant pas à celui sur formule officielle, existait et que l'intimée s'en prévalait. En outre, ils devaient savoir au plus tard le 12 novembre 2014, lors du dépôt de la demande de conciliation faite par l’intimée, les prétentions qu'elle entendait en tirer. Il apparaît ainsi que les bailleurs auraient pu se prévaloir de la production de ce contrat comme motif de résiliation extraordinaire bien avant le 2 mars 2015 et que leur argument est dès lors tardif. Au surplus, leurs allégations s’agissant du contrat sous format Word qui aurait été créé en août 2014 et qui constituerait un faux ne sont pas établies. La comparaison des deux contrats du 22 mai 2009 produits le 19 janvier 2016 devant le Tribunal de baux ne permet pas d'affirmer que tel est le cas. En particulier, la mention du mandataire [...] et sa signature semblent être de la même main sur les deux documents. Il en va de même de la signature de L.________, hormis le fait qu'elle a ajouté le nom [...], qui devrait être son nom de jeune fille, sur le contrat sur formule officielle. Ainsi, à défaut d'un avis d'expert, il n'est pas possible d'affirmer d'emblée que les signatures figurant sur le contrat sous format Word seraient falsifiées. Au demeurant, la lettre de la tutrice de l’ancienne bailleresse du 23 décembre 2009, produite le 12 novembre 2014, est un élément supplémentaire tendant à avaliser la version de la locataire dans la mesure où il est exact que le contrat sur formule officielle indique le loyer net mais qu’au contraire, le document Word mentionne un loyer annuel charges comprises de 15'600 fr., ce qui pourrait signifier qu’à l’époque, la tutrice avait en sa possession le contrat de bail sous format Word et que partant, ce dernier aurait été conclu de façon valable entre les parties en 2009 mais qu’il aurait par la suite été confirmé par formule officielle. En conclusion, dans le cadre du litige soumis à la Cour de céans, il n'est pas établi que le contrat sous format Word soit un faux créé par l'intimée pour nuire aux appelants.</w:t>
      </w:r>
    </w:p>
    <w:p>
      <w:r>
        <w:rPr>
          <w:b/>
        </w:rPr>
        <w:t>E. 6.4</w:t>
      </w:r>
    </w:p>
    <w:p>
      <w:r>
        <w:t>Partant, le fait que la locataire n’ait pas d’emblée produit les deux contrats qu’elle avait en sa possession et qu’elle ait produit le contrat sous format Word à l’appui de prétentions nouvelles ne constitue pas en l’espèce un comportement à ce point déloyal que l’on puisse le considérer comme un motif de résiliation extraordinaire au sens de l’art. 266g al. 1 CO, même s’il avait été invoqué immédiatement.</w:t>
      </w:r>
    </w:p>
    <w:p>
      <w:r>
        <w:rPr>
          <w:b/>
        </w:rPr>
        <w:t>E. 7</w:t>
      </w:r>
    </w:p>
    <w:p>
      <w:r>
        <w:t>Il s'ensuit que l'appel doit être rejeté selon le mode procédural de l'art. 312 al. 1 CPC et le jugement entrepris confirmé. Les frais judiciaires de deuxième instance, arrêtés à 1’880 fr. (art. 62 al. 1 TFJC [tarif des frais judiciaires en matière civile du 28 septembre 2010 ; RSV 270.11.5]), seront mis à la charge des appelants, qui succombent, solidairement entre eux (art. 106 al. 1 et 3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