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304 vom 12. April 2017</w:t>
      </w:r>
    </w:p>
    <w:p>
      <w:r>
        <w:t>VD Tribunal cantonal, 2017-04-12, FR</w:t>
      </w:r>
    </w:p>
    <w:p>
      <w:r>
        <w:rPr>
          <w:b/>
        </w:rPr>
        <w:t xml:space="preserve">Quelle: </w:t>
      </w:r>
      <w:r>
        <w:t>https://mcp.opencaselaw.ch/entscheid/vd_findinfo_HC___2017___304</w:t>
      </w:r>
    </w:p>
    <w:p>
      <w:r>
        <w:t>FR: VD_FINDINFO HC / 2017 / 304 du 12 avril 2017</w:t>
      </w:r>
    </w:p>
    <w:p>
      <w:r>
        <w:t>IT: VD_FINDINFO HC / 2017 / 304 del 12 aprile 2017</w:t>
      </w:r>
    </w:p>
    <w:p>
      <w:pPr>
        <w:pStyle w:val="Heading2"/>
      </w:pPr>
      <w:r>
        <w:t>Regeste</w:t>
      </w:r>
    </w:p>
    <w:p>
      <w:r>
        <w:t>PREUVE À FUTUR, DOMMAGE IRRÉPARABLE | 158 CPC (CH)</w:t>
      </w:r>
    </w:p>
    <w:p>
      <w:pPr>
        <w:pStyle w:val="Heading2"/>
      </w:pPr>
      <w:r>
        <w:t>Erwägungen</w:t>
      </w:r>
    </w:p>
    <w:p>
      <w:r>
        <w:rPr>
          <w:b/>
        </w:rPr>
        <w:t>E. 1.1</w:t>
      </w:r>
    </w:p>
    <w:p>
      <w:r>
        <w:t>Dirigés contre la même décision et fondés sur des arguments en partie similaires, il convient de déterminer, en premier lieu, si la jonction des procédures de recours de C.________ SA, [...] SA et [...] simplifierait la présente procédure (art. 125 let. b CPC).</w:t>
      </w:r>
    </w:p>
    <w:p>
      <w:r>
        <w:rPr>
          <w:b/>
        </w:rPr>
        <w:t>E. 1.2</w:t>
      </w:r>
    </w:p>
    <w:p>
      <w:r>
        <w:t>Pour simplifier le procès, le jug e peut en effet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w:t>
      </w:r>
    </w:p>
    <w:p>
      <w:r>
        <w:rPr>
          <w:b/>
        </w:rPr>
        <w:t>E. 1.3</w:t>
      </w:r>
    </w:p>
    <w:p>
      <w:r>
        <w:t>En l’espèce, dans la mesure où les recours interjetés par C.________ SA SA, d’une part, et [...] SA, d’autre part, soulèvent principalement la question de leur recevabilité, alors que celui interjeté par [...] se concentre sur les notions de droit d’être entendu et de régularité de la notification, la jonction de ces procédures ne paraît pas opportune. Il n’y a donc pas lieu de les joindre.</w:t>
      </w:r>
    </w:p>
    <w:p>
      <w:r>
        <w:rPr>
          <w:b/>
        </w:rPr>
        <w:t>E. 2.1</w:t>
      </w:r>
    </w:p>
    <w:p>
      <w:r>
        <w:t>Le recours est dirigé contre une ordonnance du juge de paix, qui nonobstant son intitulé, ne traite pas stricto sensu de mesures provisionnelles, mais ordonne une preuve à futur (art. 158 CPC). La preuve à futur a pour but, soit d'assurer la conservation de la preuve, lorsque le moyen de preuve risque de disparaître ou que son administration ultérieure se heurterait à de grandes difficultés, soit de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 Berne et Bâle.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138 III 76 consid. 2.4.2). La preuve à futur est une mesure provisionnelle au sens large (Schweizer, CPC commenté, op. cit., n. 8 ad art. 374 CPC), à laquelle s'applique la procédure sur les mesures provisionnelles selon l'art. 158 al. 2 CPC. La preuve à futur vise à sauvegarder des preuves ou à évaluer les chances d'obtenir gain de cause ou d'apporter une preuve dans le cadre d'un éventuel futur procès (sur ce dernier point : ATF 138 III 76 consid. 2.4.2 ; TF 5A_832/2012 du 25 janvier 2013 consid. 7.1). Elle est ordonnée sur requête (Schweizer, op. cit., n. 9 ad art. 374 CPC). La requête de preuve à futur n'est pas introductive d'instance ; elle n'interrompt pas les délais de prescription (ATF 93 II 498 ; Braconi/Carron/Scyboz, CC &amp; CO annotés, 9 e éd., 2013, commentaire ad art. 135 CO). Selon Fellmann (in Sutter-Somm, Hasenböhler, Leuenberger (édit.), ZPO Kommentar, n. 19 ad art. 158 CPC), la requête de preuve à futur n'entraîne pas la litispendance (CACI du 25 avril 2013/215). La décision admettant ou rejetant une requête de preuve à futur « hors procès » est une décision de mesures provisionnelles au sens de l'art. 98 LTF, puisque la question de l'administration de la preuve requise n'est tranchée que provisoirement dans cette procédure et qu'il sera statué définitivement sur elle dans le procès au fond qui sera introduit ultérieurement (ATF 138 III 46 consid. 1.1 p. 46, consid. 1.2, p. 76 ; 133 III 638 consid. 2).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op. cit., n. 11 ad. 319 CPC). Une décision de refus – même partiel (CACI 1 er octobre 2012/452) – d'expertise hors procès peut faire l'objet d'un appel, respectivement d'un recours lorsque la valeur litigieuse est inférieure à 10'000 fr.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 CACI 26 septembre 2011/271 ; CREC 18 novembre 2011/215).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in JdT 2014 III 85) ou encore refusant d'ordonner une contre-expertise à la suite de l'expertise hors procès déposée (CREC 18 février 2014/67 ; TF 4A_248/2014 du 27 juin 2014 consid. 3.1 ; RSPC 2014 p. 461). On peut donc tirer de la jurisprudence la règle générale qu’à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 Le préjudice difficilement réparable doit être nié si le recourant conserve la possibilité de contester la valeur probante de l'expertise dans le cadre de la procédure au fond, l'éventuel préjudice pouvant ainsi être réparé par une décision finale favorable (CREC 24 novembre 2014/414). La notion de préjudice difficilement réparable est plus large que celle de dommage irréparable de l'art. 93 al. 1 let. a LTF (loi du 17 juin 2005 sur le Tribunal fédéral ; RS 173.110), puisqu'elle vise également les désavantages de fait (JdT 2011 III 86 consid. 3 et les réf. cit.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 cit. ; CREC 22 mars 2012/117).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 cit. ; CREC 26 avril 2016/138 ; Reich, in Baker &amp; McKenzie (édit.), Schweizerische Zivilprozessordnung, 2010, n. 8 ad art. 319 CPC ; Brunner, in Oberhammer (édit.), Kurzkommentar ZPO, 2 e éd., 2014, nn. 12 et 13 ad art. 319 CPC).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oeuvre d'une expertise qui pourrait causer une augmentation importante des frais de la procédure (CREC 17 octobre 2016/419 consid. 4.1 et les réf. cit. ; Blickenstorfer, in Brunner/Gasser/Schwander (éds.), Schweizerische Zivilprozess-ordnung, 2 e éd., 2016, nn. 40 ss ad art. 319 CPC).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Il n’y a pas non plus de risque de préjudice irréparable dans la preuve à futur ordonnant la production de documents par le recourant en mains du tribunal dès lors que le juge pourra prendre les mesures nécessaires à la sauvegarde des secrets d'affaires (comme le caviardage de certains passages) à réception de ces documents (CREC 29 juillet 2014/254). Selon la jurisprudence fédérale (TF 5A_832/2012 du 25 janvier 2013 consid. 7.1.1),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p. 81 avec les réf. cit.). S’agissant des faits à établir par les moyens de preuve à administrer, on ne saurait toutefois exiger qu'ils soient en soi rendus vraisemblables, sauf à méconnaître le but de l'art. 158 al. 1 let. b CPC, lequel tend précisément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 intérêt digne de protection » n'est pas soumise à des exigences trop sévères (Fellmann, ZPO Kommentar, op. cit., n. 19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(Fellmann, ZPO Kommentar, op. cit., n. 20 ad art. 158 CPC).</w:t>
      </w:r>
    </w:p>
    <w:p>
      <w:r>
        <w:rPr>
          <w:b/>
        </w:rPr>
        <w:t>E. 2.2</w:t>
      </w:r>
    </w:p>
    <w:p>
      <w:r>
        <w:t>La recourante soutient que le premier juge aurait violé l’art. 158 CPC en ordonnant une expertise hors procès alors que les requérants à la preuve à futur n’auraient pas rendu vraisemblable l’existence d’une prétention matérielle concrète contre elle. Ils se seraient en effet limités à alléguer qu’elle aurait été l’organe de révision de [...] SA durant une certaine période et qu’elle pourrait être actionnée en responsabilité, ce qui serait, selon elle, insuffisant. Par ailleurs, le premier juge n’aurait pas examiné les questions une à une pour déterminer s’il s’agissait de questions techniques susceptibles d’être soumises à la preuve par expertise. Enfin, le principe de l’égalité des armes n’aurait pas non plus été respecté, du fait que l’expertise ne serait pas faite sur la base d’un état de fait complet et de toutes les pièces nécessaires. Elle serait ainsi partielle et orientée, l’expert n’ayant pas la version des faits de la recourante par écrit.</w:t>
      </w:r>
    </w:p>
    <w:p>
      <w:r>
        <w:rPr>
          <w:b/>
        </w:rPr>
        <w:t>E. 2.3</w:t>
      </w:r>
    </w:p>
    <w:p>
      <w:r>
        <w:t>En l'espèce, les intimés ont, comme le premier juge l'a retenu dans sa décision, suffisamment rendu vraisemblable leurs prétentions à l'égard de la recourante. Pour le surplus, on ne discerne pas en quoi la recourante, appelée à participer à la procédure hors procès, serait lésée de manière difficilement réparable parce qu'elle n'aurait pas déposé d'écriture alors qu'elle aura évidemment le droit d'alléguer et d'offrir des preuves dans les écritures qu'elle déposerait dans un éventuel futur procès au fond. Dans l'arrêt TF 4A_352/2015 du 4 janvier 2016 in fine traitant d'une intervention, le Tribunal fédéral a énoncé le considérant suivant : «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La recourante s'en prévaut en soutenant que la réparation offerte par l'administration d'une nouvelle expertise au fond ne lui est pas assurée. L'affirmation précitée du Tribunal fédéral ne paraît cependant pas transposable aux cas dans lesquels l'expertise hors procès a pour but, non pas de sauvegarder des preuves établissant par exemple l'existence d'une malfaçon, mais d'évaluer les chances de succès d'une prétention. En effet, par définition l'objet d'une telle expertise évaluative avant-procès diffère d'une expertise administrée dans le procès au fond et donc ne peut exclure une expertise au fond qui n'évalue pas des chances, mais qui tend à prouver des faits fondant des droits. En définitive, le recours s'avère irrecevable faute de préjudice difficilement réparable.</w:t>
      </w:r>
    </w:p>
    <w:p>
      <w:r>
        <w:rPr>
          <w:b/>
        </w:rPr>
        <w:t>E. 3</w:t>
      </w:r>
    </w:p>
    <w:p>
      <w:r>
        <w:t>Au vu de ce qui précède, le recours doit être déclaré irrecevable selon le mode procédural de l’art. 322 al. 1 CPC. Les frais judiciaires de deuxième instance, arrêtés à 400 fr. (art. 69 TFJC [tarif des frais judiciaires civils du 28 septembre 2010 ; RSV 270.11.5]), sont mis à la charge de la recourante qui succombe (art. 106 al. 1 CPC). Il n’y a pas lieu d’allouer des dépens aux intimés, ceux-ci n’ayant pas été invités à se déterminer. Par ces motifs, la Chambre des recours civile du Tribunal cantonal, en application de l'art. 322 al. 1 CPC, prononce : I. Le recours est irrecevable. II. Les frais judiciaires de deuxième instance, arrêtés à 400 fr. (quatre cents francs), sont mis à la charge de la recourante C.________ SA. III. L’arrêt est exécutoire. La présidente :               La greffière : Du L'arrêt qui précède, dont la rédaction a été approuvée à huis clos, est notifié à : ‑ Me Carlo Lombardini pour C.________ SA. ‑ Mes Jean-Michel Duc et Tania Francfort pour O.________ et consorts.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Me Alain Amstutz pour [...] SA, - Me Yero Diagne pour [...], - Me Laurent Damond pour [...], - Me Jacques Michod pour [...], - Me Jérôme Bénédict pour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