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292 vom 6. April 2017</w:t>
      </w:r>
    </w:p>
    <w:p>
      <w:r>
        <w:t>VD Tribunal cantonal, 2017-04-06, FR</w:t>
      </w:r>
    </w:p>
    <w:p>
      <w:r>
        <w:rPr>
          <w:b/>
        </w:rPr>
        <w:t xml:space="preserve">Quelle: </w:t>
      </w:r>
      <w:r>
        <w:t>https://mcp.opencaselaw.ch/entscheid/vd_findinfo_HC___2017___292</w:t>
      </w:r>
    </w:p>
    <w:p>
      <w:r>
        <w:t>FR: VD_FINDINFO HC / 2017 / 292 du 6 avril 2017</w:t>
      </w:r>
    </w:p>
    <w:p>
      <w:r>
        <w:t>IT: VD_FINDINFO HC / 2017 / 292 del 6 aprile 2017</w:t>
      </w:r>
    </w:p>
    <w:p>
      <w:pPr>
        <w:pStyle w:val="Heading2"/>
      </w:pPr>
      <w:r>
        <w:t>Regeste</w:t>
      </w:r>
    </w:p>
    <w:p>
      <w:r>
        <w:t>RELATIONS PERSONNELLES, ENFANT, MODIFICATION DES CIRCONSTANCES, MESURE PROVISIONNELLE, CAUSE DE DIVORCE | 176 al. 3 CC, 176 CC, 179 al. 1 CC, 179 CC, 273 al. 1 CC, 273 CC</w:t>
      </w:r>
    </w:p>
    <w:p>
      <w:pPr>
        <w:pStyle w:val="Heading2"/>
      </w:pPr>
      <w:r>
        <w:t>Erwägungen</w:t>
      </w:r>
    </w:p>
    <w:p>
      <w:r>
        <w:rPr>
          <w:b/>
        </w:rPr>
        <w:t>E. 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non patrimoniales,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(JdT 2011 III 43 ; Tappy, Les voies de droit du nouveau Code de procédure civile in JdT 2010 III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 La jurisprudence vaudoise (JdT 2011 III 43 ; RSPC 2011, p. 320, note approbatrice de Tappy) considère qu'en appel les novas sont soumis au régime ordinaire, même dans les causes soumises à la maxime inquisitoire (en ce sens Tappy, op. cit., JdT 2010 III 115; Hohl, Procédure civile, Tome II, 2 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w:t>
      </w:r>
    </w:p>
    <w:p>
      <w:r>
        <w:t>En l’espèce, dès lors que la présente cause concerne le sort d’enfants mineurs, l’ensemble des pièces nouvelles produites par les parties sont recevables. Ces pièces ont dès lors été prises en compte dans la mesure de leur utilité.</w:t>
      </w:r>
    </w:p>
    <w:p>
      <w:r>
        <w:rPr>
          <w:b/>
        </w:rPr>
        <w:t>E. 3.1</w:t>
      </w:r>
    </w:p>
    <w:p>
      <w:r>
        <w:t>En premier lieu, l’appelante reproche aux premiers juges d’avoir considéré que les circonstances de l’art. 179 al. 1 CC étaient réalisées. Elle soutient que l’intimé n’aurait pas rendu vraisemblable que son jour de congé se soit modifié. Selon elle, il ne serait pas établi que l’intéressé devrait suivre des cours tous les mardis pendant le reste de l’année ni qu’il ne pourrait pas prendre congé un autre jour de semaine, à savoir le jeudi ou le vendredi, jours qui auraient sa préférence. Quant à l’intimé, il relève avoir produit une attestation de son employeur précisant que pour des raisons d’organisation ainsi qu’en raison de sa formation continue, son jour hebdomadaire de congé est désormais le mercredi.</w:t>
      </w:r>
    </w:p>
    <w:p>
      <w:r>
        <w:rPr>
          <w:b/>
        </w:rPr>
        <w:t>E. 3.2</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3.3</w:t>
      </w:r>
    </w:p>
    <w:p>
      <w:r>
        <w:t>En l’espèce, nonobstant ce que prétend l’appelante, l’intimé a établi, au-delà de la simple vraisemblance, que son jour de congé avait été modifié par son employeur, d’une part pour des raisons organisationnelles, et d’autre part en raison de sa formation continue. Ainsi, il y a lieu de considérer cette modification comme notable et elle doit également être qualifiée de durable, dès lors qu’il n’y a pas de raison de croire qu’elle ait été faite à titre provisoire, comme le soutient l’appelante, le courrier de l’employeur de l’intimé du 14 mars 2017 se bornant à parler d’une modification effective dès le 1 er février 2017. Le grief de l’appelante, mal fondé, doit être rejeté.</w:t>
      </w:r>
    </w:p>
    <w:p>
      <w:r>
        <w:rPr>
          <w:b/>
        </w:rPr>
        <w:t>E. 4.1</w:t>
      </w:r>
    </w:p>
    <w:p>
      <w:r>
        <w:t>L’appelante reproche en outre aux premiers juges d’avoir modifié le jour de droit de visite de l’intimé, celui-ci pouvant désormais avoir ses enfants auprès de lui le mercredi alors qu’il les prenait en charge jusqu’alors le mardi. Elle explique qu’elle n’aurait pas de solution de garde pour le mardi et, d’autre part, que si l’on devait priver du mercredi la maman de jour s’occupant des enfants, elle résilierait le mandat la liant à l’appelante. L’intéressée fait encore valoir qu’elle suit un cours d’auxiliaire de santé qui l’occupe les lundis, mardis et jeudis et que la modification du droit de visite du père la plongerait dans des difficultés organisationnelles particulièrement importantes. Elle relève enfin que la modification ordonnée la priverait de ses enfants tous les mercredis après-midi, alors que jusqu’à présent, elle profitait de ces moments pour faire leurs devoirs avec eux. Quant à l’intimé, il relève que l’organisation des relations personnelles du parent non-gardien avec ses enfants doit s’examiner de telle sorte qu’elle réponde à l’intérêt prioritaire des enfants, celui des parents étant relégué au second plan. Il souligne à cet égard qu’il a désormais congé le mercredi et non plus le mardi et que l’appelante confierait leurs enfants à une maman de jour le mercredi après-midi, de sorte que la modification telle qu’ordonnée par les premiers juges ne la priverait en aucune façon de contacts avec eux ce jour-là. Il relève en outre qu’il serait dans l’intérêt des enfants d’être avec leur père plutôt qu’avec la maman de jour et qu’il serait dénué de sens de favoriser cette seconde solution. Il indique également qu’à aucun moment l’appelante n’aurait laissé entendre qu’il serait inadéquat dans la prise en charge de ses enfants. Enfin, il fait valoir que les arguments développés par l’appelante en relation avec l’organisation de la maman de jour ne seraient pas pertinent.</w:t>
      </w:r>
    </w:p>
    <w:p>
      <w:r>
        <w:rPr>
          <w:b/>
        </w:rPr>
        <w:t>E. 4.2</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 citées, FamPra.ch 2011 p. 491 ; ATF 131 III 209 consid. 5).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 e éd., 2014, n. 766, p. 500 et les réf. citées).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 3.3 et la jurisprudence citée).</w:t>
      </w:r>
    </w:p>
    <w:p>
      <w:r>
        <w:rPr>
          <w:b/>
        </w:rPr>
        <w:t>E. 4.3</w:t>
      </w:r>
    </w:p>
    <w:p>
      <w:r>
        <w:t>En l’espèce, les premiers juges ont retenu que le droit de visite tel que prévu dans la convention du 20 novembre 2012 ne s’exercerait plus durant le jour de congé de l’intimé. Ils ont également relevé qu’il était dans l’intérêt de X.________ et N.________ de bénéficier d’un droit de visite lors duquel ils pourraient voir leur père en personne et non être confié à des tiers. Si l’on pouvait concevoir qu’il n’était pas aisé de modifier un programme établi avec des mamans de jour professionnelles, cet argument n’était au demeurant pas suffisant pour considérer que le bien des enfants résidait dans le maintien du droit de visite tel qu’appliqué actuellement par les parties. Les premiers juges ont considéré qu’en admettant que X.________ et N.________ nécessitaient encore, à leurs âges, une surveillance continue de la part d’adultes, la difficulté à trouver une maman de jour pour s’occuper d’eux le mardi apparaissait comme surmontable, dans la mesure où une gardienne d’enfants avait pu être engagée pour les autres jours de la semaine. Ce raisonnement peut être confirmé. En premier lieu, il faut relever que l’appelante n’a pas rendu vraisemblable qu’il lui serait impossible de trouver une maman de jour disponible le mardi. La seule pièce qu’elle a produite à cet égard, soit l’attestation de la maman de jour prenant en charge les enfants les lundis et mercredis, ne suffit pas pour le retenir. En effet, cette maman de jour ne fait que relever qu’elle n’a pas de place les autres jours de la semaine. Elle ne menace toutefois pas l’appelante de résilier le contrat de placement si celle-ci venait à renoncer au mercredi. Au demeurant, les mamans de jour font toutes partie d’un réseau, avec lequel l’appelante aurait dû prendre contact pour savoir si une autre maman de jour était disponible le mardi pour garder ses enfants, par exemple celle prenant en charge les enfants les jeudis et vendredis. Enfin, les parents de l’intimé se sont apparemment proposés pour prendre en charge les enfants le mardi, de sorte que, contrairement à ce que prétend l’appelante, des solutions de garde pour les enfants, dont on rappellera qu’ils sont âgés de 9 et 11 ans, existent. Au surplus, l’appelante n’a pas évoqué une seule fois, dans son mémoire d’appel, l’intérêt prépondérant de X.________ et N.________. Elle s’est en effet bornée à faire état de ses propres difficultés organisationnelles relatives à la garde des enfants le mardi, sans contester qu’il était de l’intérêt de ceux-ci d’entretenir, une fois par semaine, des relations personnelles avec leur père, dont elle n’a d’ailleurs pas remis en cause les capacités parentales. Ainsi, il ne serait pas soutenable de restreindre le droit de visite de l’intimé pour les raisons invoquées par l’appelante. Il y a également lieu de relever que les enfants étaient précédemment confiés à une maman de jour le mercredi, de sorte que la modification ordonnée par les premiers juges ne prive pas l’appelante de moments avec ses enfants. Il est donc manifestement dans leur intérêt d’être pris en charge par leur père plutôt que par une tierce personne. Au demeurant, s’agissant de la question des devoirs scolaires, qui semble particulièrement préoccuper l’appelante, il faut relever qu’ils pourront être désormais effectués avec l’aide de l’intimé. Le grief de l’appelante, mal fondé, doit être rejeté.</w:t>
      </w:r>
    </w:p>
    <w:p>
      <w:r>
        <w:rPr>
          <w:b/>
        </w:rPr>
        <w:t>E. 5.1</w:t>
      </w:r>
    </w:p>
    <w:p>
      <w:r>
        <w:t>En définitive, l’appel doit être rejeté et l’ordonnance entreprise confirmée.</w:t>
      </w:r>
    </w:p>
    <w:p>
      <w:r>
        <w:rPr>
          <w:b/>
        </w:rPr>
        <w:t>E. 5.2</w:t>
      </w:r>
    </w:p>
    <w:p>
      <w:r>
        <w:t>Les conditions cumulatives d’octroi de l’assistance judiciaire prévues à l’art. 117 CPC étant réalisées, il se justifie d’accorder l’assistance judiciaire à l’appelante, Me Eric Muster étant désigné comme son conseil d'office pour la procédure d'appel et l’intéressée étant astreinte à verser une franchise mensuelle de 50 francs. Il en ira de même pour l’intimé, Me Joël Crettaz étant désigné comme son conseil d’office et l’intéressé étant également astreint à payer une franchise mensuelle de 50 francs.</w:t>
      </w:r>
    </w:p>
    <w:p>
      <w:r>
        <w:rPr>
          <w:b/>
        </w:rPr>
        <w:t>E. 5.3</w:t>
      </w:r>
    </w:p>
    <w:p>
      <w:r>
        <w:t>Les frais judiciaires de deuxième instance, arrêtés à 600 fr. (art. 65 al. 2 TFJC [tarif des frais judiciaires civils du 28 septembre 2010, RSV 270.11.5) pour l’appelante, qui succombe (art. 106 al. 1 CPC), seront laissés à la charge de l’Etat, l’intéressée étant au bénéfice de l’assistance judiciaire (122 al. 1 let. b CPC).</w:t>
      </w:r>
    </w:p>
    <w:p>
      <w:r>
        <w:rPr>
          <w:b/>
        </w:rPr>
        <w:t>E. 5.4.1</w:t>
      </w:r>
    </w:p>
    <w:p>
      <w:r>
        <w:t>Dans sa liste des opérations du 30 mars 2017, Me Eric Muster, conseil d’office de C.________, annonce avoir consacré 5 heures et 30 minutes à la procédure d'appel et chiffre ses débours à 28 fr. 50. Les montants annoncés ne prêtent pas le flanc à la critique. Partant, au tarif horaire de 180 fr. (art. 2 al. 1 RAJ [règlement du 7 décembre 2010 sur l’assistance judiciaire en matière civile, RSV 211.02.3]), l'indemnité de Me Muster sera arrêtée à 1'100 fr., soit 990 fr. à titre d’honoraires, débours par 28 fr. 50 et TVA sur le tout par 81 fr. 50 en sus.</w:t>
      </w:r>
    </w:p>
    <w:p>
      <w:r>
        <w:rPr>
          <w:b/>
        </w:rPr>
        <w:t>E. 5.4.2</w:t>
      </w:r>
    </w:p>
    <w:p>
      <w:r>
        <w:t>Me Joël Crettaz, conseil d’office de Z.________, a produit une liste de ses opérations datée du 30 mars 2017 annonçant 2 heures et 8 minutes de travail ainsi que 6 fr. 30 de débours. Dès lors que les montants en question sont justifiés, l’indemnité de Me Crettaz sera arrêtée à 421 fr. 50, soit 384 fr. à titre d’honoraires, débours par 6 fr. 30 et TVA sur le tout par 31 fr. 20 en sus.</w:t>
      </w:r>
    </w:p>
    <w:p>
      <w:r>
        <w:rPr>
          <w:b/>
        </w:rPr>
        <w:t>E. 5.5</w:t>
      </w:r>
    </w:p>
    <w:p>
      <w:r>
        <w:t>Dans la mesure de l’art. 123 CPC, les bénéficiaires de l’assistance judiciaire sont tenus au remboursement des frais judiciaires et de l’indemnité à leurs conseils d’office mis à la charge de l’Etat.</w:t>
      </w:r>
    </w:p>
    <w:p>
      <w:r>
        <w:rPr>
          <w:b/>
        </w:rPr>
        <w:t>E. 5.6</w:t>
      </w:r>
    </w:p>
    <w:p>
      <w:r>
        <w:t>L’octroi de l’assistance judiciaire ne dispense pas la partie du versement des dépens à la partie adverse (art. 122 al. 1 let. d CPC). Vu l’issue du litige, l’intimé a droit à de pleins dépens de deuxième instance qui seront arrêtés, compte tenu de l’importance de la cause, de ses difficultés, de l’ampleur du travail et du temps consacré à la procédure (art. 3 TDC [tarif des dépens en matière civile du 23 novembre 2010 ; RSV 270.11.6]), à 700 francs. Par ces motifs, la Juge déléguée de la Cour d’appel civile prononce : I. L’appel est rejeté. II. L’ordonnance est confirmée. III. Les frais judiciaires de deuxième instance, arrêtés à 600 fr. (six cents francs) et mis à la charge de C.________, sont provisoirement laissés à la charge de l'Etat. IV. La requête d'assistance judiciaire de l’appelante C.________, est admise, Me Eric Muster étant désigné comme son conseil d'office et l’appelante devant verser une franchise mensuelle de 50 fr. (cinquante francs) pour la procédure d'appel. V. L'indemnité de Me Eric Muster, conseil d'office de l’appelante, est arrêtée à 1'100 fr. (mille cent francs), débours et TVA compris. VI. La requête d'assistance judiciaire de l’intimé Z.________ est admise, Me Joël Crettaz étant désigné comme son conseil d'office et l'intimé devant verser une franchise mensuelle de 50 fr. (cinquante francs) pour la procédure d'appel. VII. L'indemnité de Me Joël Crettaz, conseil d'office de l’intimé, est arrêtée à 421 fr. 50 (quatre cent vingt-et-un francs et cinquante centimes), débours et TVA compris. VIII. Les bénéficiaires de l'assistance judiciaire sont tenus, dans la mesure de l'art. 123 CPC, de rembourser les frais judiciaires et indemnités de leurs conseils d'office mis à la charge de l'Etat. IX. L’appelante C.________ doit verser à l’intimé Z.________ un montant de 700 fr. (sept cents francs), à titre de dépens de deuxième instance. X. L'arrêt est exécutoire. La juge déléguée : La greffière : Du Le présent arrêt, dont la rédaction a été approuvée à huis clos, est notifié en expédition complète à : ‑ Me Eric Muster (pour C.________), ‑ Me Joël Crettaz (pour Z.________),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