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234 vom 9. März 2017</w:t>
      </w:r>
    </w:p>
    <w:p>
      <w:r>
        <w:t>VD Tribunal cantonal, 2017-03-09, FR</w:t>
      </w:r>
    </w:p>
    <w:p>
      <w:r>
        <w:rPr>
          <w:b/>
        </w:rPr>
        <w:t xml:space="preserve">Quelle: </w:t>
      </w:r>
      <w:r>
        <w:t>https://mcp.opencaselaw.ch/entscheid/vd_findinfo_HC___2017___234</w:t>
      </w:r>
    </w:p>
    <w:p>
      <w:r>
        <w:t>FR: VD_FINDINFO HC / 2017 / 234 du 9 mars 2017</w:t>
      </w:r>
    </w:p>
    <w:p>
      <w:r>
        <w:t>IT: VD_FINDINFO HC / 2017 / 234 del 9 marzo 2017</w:t>
      </w:r>
    </w:p>
    <w:p>
      <w:pPr>
        <w:pStyle w:val="Heading2"/>
      </w:pPr>
      <w:r>
        <w:t>Regeste</w:t>
      </w:r>
    </w:p>
    <w:p>
      <w:r>
        <w:t>MESURE DE CONTRAINTE{DROIT DES ÉTRANGERS}, PROPORTIONNALITÉ | 75 al. 1 let. h LEtr, 76 al. 1 let. b ch. 3 LEtr, 76 al. 1 let. b ch. 4 LEtr</w:t>
      </w:r>
    </w:p>
    <w:p>
      <w:pPr>
        <w:pStyle w:val="Heading2"/>
      </w:pPr>
      <w:r>
        <w:t>Erwägungen</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G.________ est recevable.</w:t>
      </w:r>
    </w:p>
    <w:p>
      <w:r>
        <w:rPr>
          <w:b/>
        </w:rPr>
        <w:t>E. 2.1</w:t>
      </w:r>
    </w:p>
    <w:p>
      <w:r>
        <w:t>Le juge de paix du district de Lausanne est l’autorité compétente en vertu des art. 17 et 20 LVLEtr. Saisi d’une requête motivée et documentée du SPOP du 14 février 2017, ce magistrat a procédé à l’audition du recourant le même jour. Les déclarations de l'intéressé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d'ailleurs été désigné. La procédure a ainsi été régulière, ce que le recourant ne conteste d’ailleurs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Il sera dès lors tenu compte de la lettre du recourant à l’attention de son conseil du 1 er mars 2017, dans la mesure de son utilité.</w:t>
      </w:r>
    </w:p>
    <w:p>
      <w:r>
        <w:rPr>
          <w:b/>
        </w:rPr>
        <w:t>E. 3.1</w:t>
      </w:r>
    </w:p>
    <w:p>
      <w:r>
        <w:t>Le recourant ne conteste pas être en séjour irrégulier en Suisse mais indique ne pouvoir envisager de retourner dans son pays et vouloir déposer une nouvelle demande d’asile. Il invoque une violation de l’art. 5 par. 1 CEDH (Convention européenne de sauvegarde des droits de l’homme et des libertés fondamentales du 4 novembre 1950, RS 0.101) , au motif que la preuve que son renvoi serait possible et exécutable à court ou à moyen terme n’aurait pas été apportée. Il soutient en outre que la durée de la détention administrative, ordonnée pour six mois, serait disproportionnée et qu’il conviendrait en tous les cas de la réduire à deux mois.</w:t>
      </w:r>
    </w:p>
    <w:p>
      <w:r>
        <w:rPr>
          <w:b/>
        </w:rPr>
        <w:t>E. 3.2.1</w:t>
      </w:r>
    </w:p>
    <w:p>
      <w:r>
        <w:t>L'art.</w:t>
      </w:r>
    </w:p>
    <w:p>
      <w:r>
        <w:rPr>
          <w:b/>
        </w:rPr>
        <w:t>E. 3.2.2</w:t>
      </w:r>
    </w:p>
    <w:p>
      <w:r>
        <w:t>A teneur de l’art. 76 al. 1 let. b ch. 1 LEtr, lorsqu’une décision de renvoi ou d’expulsion de première instance a été notifiée, l’autorité compétente peut, afin d’en assurer l’exécution, mettre la personne concernée en détention pour les motifs cités par l’art. 75 al. 1 let, b, c, f,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Selon l’art. 76 al. 1 let. b ch. 3 et 4 LEtr, l’autorité compétente peut, toujours afin d’assurer l’exécution d’une décision de renvoi ou d’expulsion,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chiffres 3 et 4 de l’art. 76 al. 1 let. b LEtr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3.2.3</w:t>
      </w:r>
    </w:p>
    <w:p>
      <w:r>
        <w:t>Aux termes de l’art. 79 al. 1 LEtr, la détention en phase préparatoire et la détention en vue du renvoi ou de l'expulsion visées aux art. 75 à 77 ainsi que la détention pour insoumission visée à l'art. 78 ne peuvent excéder six mois au total.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ATF 134 I 92 consid. 2.3.2 p. 97), étant précisé que plus la détention se prolonge, plus les exigences relatives à la proportionnalité sont accrues (Nguyen, Les renvois et leur exécution en droit suisse, in : Les renvois et leur exécution, Berne 2011, p. 115 ss, 183). Le refus explicite de collaborer de la personne concernée est un indice important, mais d’autres éléments entrent aussi en compte (ATF 135 II 105 consid. 2.2.2 ; ATF 134 II 201 consid. 2.2.4, confirmé notamment in : TF 2C_538/2010 du 19 juillet 2010 consid. 4.3.1). Peuvent jouer un rôle le comportement de l’intéressé, la possibilité qui lui est offerte de mettre concrètement lui-même fin à sa détention s’il coopère, ses relations familiales ou le fait qu’en raison de son âge, son état de santé ou son sexe, il mérite une protection particulière (TF 2C_639/2011 du 16 septembre 2011 consid. 3.1 ; TF 2C_624/2011 du 12 septembre 2011 consid. 2.1 ; TF 2C_936/2010 du 24 décembre 2010 consid. 1.3).</w:t>
      </w:r>
    </w:p>
    <w:p>
      <w:r>
        <w:rPr>
          <w:b/>
        </w:rPr>
        <w:t>E. 3.3</w:t>
      </w:r>
    </w:p>
    <w:p>
      <w:r>
        <w:t>En l’espèce, le recourant fait l’objet d’une décision définitive et exécutoire de renvoi de Suisse rendue le 30 novembre 2016, avec délai de départ échéant au plus tard le jour de sa sortie de prison et comportant l’avertissement qu’à défaut d’obtempérer, il s’exposera à des mesures de contrainte. Alors même qu’il ne bénéficie d’aucun effet suspensif à l’exécution de son renvoi, le recourant a refusé d’embarquer sur un vol à destination de la Tunisie à sa sortie de prison, le 14 février 2017. Le même jour, il a déclaré au premier juge qu’il refuserait de retourner dans son pays d’origine, souhaitant se rendre en Italie, là où résiderait son amie et où il aurait, selon ses dires, déposé une demande d’asile sous un autre nom. Lors de ses séjours en Suisse, le recourant a été condamné à cinq reprises par les autorités pénales, notamment pour crime le 14 novembre 2016 par le Ministère public de l’arrondissement de Lausanne. Il ressort en outre du dossier que le recourant a déjà fait l’objet d’un renvoi forcé vers la Tunisie en 2013 mais qu’à une date indéterminée, il est revenu en Suisse, où il a à nouveau commis des infractions. L’ensemble de ces éléments laisse apparaître que le recourant entend se soustraire à son renvoi, respectivement ne pas obtempérer aux instructions de l’autorité dans ce sens, de sorte que sa détention administrative est fondée au sens de l’art. 76 al. 1 let. b ch. 3 et 4 LEtr. La détention se justifie également sous l’angle de l’art. 76 al. 1 let. b ch. 1 LEtr, en relation avec l’art. 75 al. 1 let. h LEtr, le recourant ayant été condamné à plusieurs reprises pour vol notamment, qui constitue un crime au sens de l’art. 10 al. 2 CP (Code pénal suisse du 21 décembre 1937 ; RS 311.1). Par ailleurs, contrairement à ce que prétend le recourant, son renvoi est exécutable dans un délai prévisible de six mois, qui correspond à la durée maximale de la détention selon l’art. 79 al. 1 LEtr. Il ressort en effet des déterminations du SPOP que les démarches en vue du renvoi se poursuivent, ce service étant dans l’attente de l’organisation d’un prochain vol spécial à destination de Tunis rendu nécessaire à la suite du refus de l’intéressé d’embarquer sur un vol de ligne le 14 février 2017. Sur ces bases, c’est en vain que le recourant affirme que son renvoi est impossible à court ou moyen terme, d’autant qu’il n’apporte aucun élément à l’appui de cette affirmation. Quant à la durée de la détention administrative, que le recourant voudrait voir réduite au 14 mars 2017, il convient de rappeler, d’une part, que la durée de six mois est légale et, d’autre part, que l’intéressé a, par sa faute, rendu nécessaire cette détention administrative en refusant d’embarquer sur un vol de ligne le 14 février dernier. Aussi, il ne saurait se prévaloir d’une violation du principe de la proportionnalité. Dans la mesure où le recourant invoque encore le fait qu’il aurait déposé une demande d’asile en Italie sous un autre nom et qu’il devrait être renvoyé dans ce pays, on relèvera qu’il n’existe aucun élément susceptible de rendre le dépôt d’une telle demande vraisemblable. En outre, cette question ne relève pas de la présente procédure de recours, laquelle a trait à l’examen des conditions de mise en détention administrative et ne permet pas, sauf circonstances exceptionnelles non réalisées dans le cas présent, de remettre en cause le caractère licite de la décision de renvoi (TF 2C_1260/2012 du 21 décembre 2012 consid. 3.2 ; ATF 129 I 139 consid. 4.3.2). En définitive, il faut considérer que la détention du recourant n’est pas contraire à la loi, qu’elle apparaît appropriée et nécessaire, qu’elle reste dans le délai ordinaire prévu et qu’il s’agit de la seule mesure permettant d’assurer l’exécution du renvoi. 4. 4.1 Il résulte de ce qui précède que le recours doit être rejeté et l’ordonnance du 14 février 2017 confirmée. 4.2 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Hüsnü Yilmaz a droit à une rémunération équitable pour ses opérations et débours dans la procédure de recours. Il a produit le 24 février 2017 une liste des opérations indiquant cinq heures et quarante minutes consacrées au dossier de la cause, dont notamment cinquante minutes à titre de vacation pour une visite à l’Etablissement de Favra et une heure pour des démarches après jugement. Cette liste fait en outre état de débours à hauteur de 106 fr. 80, soit 7 fr. 80 pour vingt-six photocopies effectuées, 50 fr. à titre de « forfaits papeterie et frais d’envoi » et 49 fr. à titre de frais de vacation. Compte tenu des montants précités, il convient d’allouer à Me Hüsnü Yilmaz un demi forfait vacation, correspondant à 60 francs, ainsi qu’un montant forfaitaire de 50 fr. pour ses débours. La vacation forfaitaire comprenant le temps de déplacement, il y a lieu de retrancher les cinquante minutes d’activité annoncées à ce titre de la liste d’opérations. On ne voit par ailleurs pas quelles démarches pourraient être entreprises par l’avocat d’office ensuite du renvoi de son client, de sorte que qu’il ne sera pas tenu compte du temps d’une heure annoncé à titre de démarches après jugement. En définitive, un temps d’une heure et cinquante minutes doit être retranché de la liste d’opérations, de sorte c’est une durée consacrée au dossier de trois heures et cinquante minutes qui sera retenue. Compte tenu d’un tarif horaire de 180 fr. pour les avocats (art. 2 al. 1 let. a RAJ [règlement sur l’assistance judiciaire en matière civile du 7 décembre 2010 ; RSV 211.02.3]), l’indemnité d’office de Me Hüsnü Yilmaz doit ainsi être arrêtée à un montant arrondi de 690 fr., auquel s’ajoutent encore les débours par 50 fr., l’indemnité de vacation par 60 fr. ainsi que la TVA sur le tout au taux de 8% par 64 fr., soit 864 fr. au total. 4.3 Le présent arrêt peut être rendu sans frais (art. 50 LPA-VD [loi vaudoise du 28 octobre 2008 sur la procédure administrative ; RSV 173.36] applicable par renvoi de l’art. 31 al.</w:t>
      </w:r>
    </w:p>
    <w:p>
      <w:r>
        <w:rPr>
          <w:b/>
        </w:rPr>
        <w:t>E. 5</w:t>
      </w:r>
    </w:p>
    <w:p>
      <w:r>
        <w:t>par.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w:t>
      </w:r>
    </w:p>
    <w:p>
      <w:r>
        <w:rPr>
          <w:b/>
        </w:rPr>
        <w:t>E. 6</w:t>
      </w:r>
    </w:p>
    <w:p>
      <w:r>
        <w:t>LVLEtr). Par ces motifs, la Chambre des recours civile du Tribunal cantonal, prononce : I. Le recours est rejeté. II. L’ordonnance est confirmée. III. L’indemnité de Me Hüsnü Yilmaz, conseil d’office de G.________, est arrêtée à 864 fr. (huit cent soixante-quatre francs), débours et TVA compris. IV. L’arrêt, rendu sans frais, est exécutoire. La présidente :               Le greffier : Du L'arrêt qui précède, dont la rédaction a été approuvée à huis clos, est notifié à : ‑ Me Hüsnü Yilmaz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