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230 vom 6. März 2017</w:t>
      </w:r>
    </w:p>
    <w:p>
      <w:r>
        <w:t>VD Tribunal cantonal, 2017-03-06, FR</w:t>
      </w:r>
    </w:p>
    <w:p>
      <w:r>
        <w:rPr>
          <w:b/>
        </w:rPr>
        <w:t xml:space="preserve">Quelle: </w:t>
      </w:r>
      <w:r>
        <w:t>https://mcp.opencaselaw.ch/entscheid/vd_findinfo_HC___2017___230</w:t>
      </w:r>
    </w:p>
    <w:p>
      <w:r>
        <w:t>FR: VD_FINDINFO HC / 2017 / 230 du 6 mars 2017</w:t>
      </w:r>
    </w:p>
    <w:p>
      <w:r>
        <w:t>IT: VD_FINDINFO HC / 2017 / 230 del 6 marzo 2017</w:t>
      </w:r>
    </w:p>
    <w:p>
      <w:pPr>
        <w:pStyle w:val="Heading2"/>
      </w:pPr>
      <w:r>
        <w:t>Regeste</w:t>
      </w:r>
    </w:p>
    <w:p>
      <w:r>
        <w:t>ACTION EN CONTESTATION DE L'ÉTAT DE COLLOCATION, APPRÉCIATION DES PREUVES, GARANTIE{GAGE} | 8 CC, 250 LP</w:t>
      </w:r>
    </w:p>
    <w:p>
      <w:pPr>
        <w:pStyle w:val="Heading2"/>
      </w:pPr>
      <w:r>
        <w:t>Erwägungen</w:t>
      </w:r>
    </w:p>
    <w:p>
      <w:r>
        <w:rPr>
          <w:b/>
        </w:rPr>
        <w:t>E. 1</w:t>
      </w:r>
    </w:p>
    <w:p>
      <w:r>
        <w:t>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JdT 2010 III 126). En matière d'action en contestation de l'état de collocation, le Tribunal fédéral, et avec lui la doctrine majoritaire, a retenu de jurisprudence constante qu'il y avait lieu de se fonder sur le dividende probable afférent à la créance contestée pour déterminer la valeur litigieuse de l'affaire (ATF 135 III 545 consid. 1 et les références citées ; Bohnet, Actions civiles, Bâle 2014, n° 9 in § 131 p. 1434). Le recours, écrit et motivé, est introduit dans les trente jours à compter de la notification de la décision attaquée ou de la notification postérieure de la motivation ; il est de dix jours pour les décisions prises en procédure sommaire et les ordonnances d'instruction (art. 321 al. 1 et 2 CPC).</w:t>
      </w:r>
    </w:p>
    <w:p>
      <w:r>
        <w:rPr>
          <w:b/>
        </w:rPr>
        <w:t>E. 1.1</w:t>
      </w:r>
    </w:p>
    <w:p>
      <w:r>
        <w:t>Selon l'art. 319 CPC (Code de procédure civile du 19 décembre 2008 ; RS 272), le recours est notamment recevable contre les décisions finales, incidentes et provisionnelles de première instance qui ne peuvent faire l'objet d'un appel (let. a) et dans les cas prévus par la loi (let. b ch. 1). L'appel est ouvert contre les décisions finales de première instance (art. 308 al.</w:t>
      </w:r>
    </w:p>
    <w:p>
      <w:r>
        <w:rPr>
          <w:b/>
        </w:rPr>
        <w:t>E. 1.2</w:t>
      </w:r>
    </w:p>
    <w:p>
      <w:r>
        <w:t>En l'espèce, compte tenu du fait que le dividende probable des créances produites par l’intimé est évalué à 0% tant en ce qui concerne le gage immobilier que les créances colloquées en 3 ème classe, la valeur litigieuse est manifestement inférieure à 10'000 francs. La voie du recours est dès lors ouverte. La décision attaquée a été prise dans le cadre d'une cause soumise à la procédure simplifiée (art. 243 al. 1 et 2 CPC), de sorte que le délai de 30 jours est applicable. Interjeté en temps utile par une partie qui y a intérêt (art. 59 al. 2 let. a CPC) et dûment motivé (art. 321 al. 1 CPC), le recours est formellement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2e éd., Berne 2010, n. 2508, p. 452 ; Spühler, Basler Kommentar, Schweizerische Zivilprozessordnung, Bâle 2010, n. 12 ad art. 319 CPC, P. 1504).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Berne 2014, n. 27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w:t>
      </w:r>
    </w:p>
    <w:p>
      <w:r>
        <w:rPr>
          <w:b/>
        </w:rPr>
        <w:t>E. 3.1</w:t>
      </w:r>
    </w:p>
    <w:p>
      <w:r>
        <w:t>Dans un premier grief, la recourante reproche au premier juge d’avoir admis la validité des contrats de prêts conclus entre l’intimé et la société faillie L.________SA respectivement les 2 et 9 juillet 2012, garantis chacun par une cédule hypothécaire, alors même qu’ils transgresseraient la clause de restriction d’emprunter prévue dans les conventions de prêt conclues les 11 septembre et 28 novembre 2007 par la recourante et L.________SA, clause par laquelle celle-ci s’engageait à l’égard de la recourante à ne pas contracter de nouveaux emprunts hypothécaires en premier rang sans autorisation préalable écrite. La recourante soutient que, contrairement à son sens littéral, la clause d’exclusion devrait être interprétée comme signifiant que toute nouvelle garantie concurrente à ses propres garanties en deuxième rang nécessitait son autorisation, si bien que les prêts conclus entre l’intimé et la faillie devraient être considérés comme nuls ou à tout le moins pas opposables à la société.</w:t>
      </w:r>
    </w:p>
    <w:p>
      <w:r>
        <w:rPr>
          <w:b/>
        </w:rPr>
        <w:t>E. 3.2.1</w:t>
      </w:r>
    </w:p>
    <w:p>
      <w:r>
        <w:t>Conformément à l'art. 250 al. 2 LP (loi fédérale sur la poursuite pour dettes et la faillite du 11 avril 1889 ; RS 281.1), le créancier qui conteste une créance telle que retenue dans l'état de collocation dirige son action contre le créancier concerné. Si le juge déclare l'action fondée, le dividende afférent à cette créance est dévolu au demandeur jusqu'à concurrence de sa production, y compris les frais de procès. Le surplus éventuel est distribué conformément à l'état de collocation. L'action en contestation de l'état de collocation est une procédure judiciaire ordinaire, soumise aux règles du CPC, soit à la procédure ordinaire ou simplifiée suivant la valeur litigieuse, mais sans procédure de conciliation (Stoffel/Chabloz, Voies d'exécution, 2010, § 11 n. 98, p. 351 ; Gilliéron, Poursuite pour dettes, faillite et concordat, 5e éd., 2012, no 1995, p. 487; cf. art. 1 let. c et 198 let. e ch. 6 CPC). Elle a pour but de faire admettre par le juge que la prétention dont la collocation est contestée n'aurait pas dû être admise au passif (Gilliéron, Commentaire de la loi fédérale sur la poursuite pour dettes et la faillite, articles 159-270, 2001, n° 44 ad art. 250 LP, pp. 799-800). Elle ne sert pas à faire constater par le juge l'existence ou l'inexistence d'une prétention produite ou inscrite d'office, car elle ne vise pas à établir le rapport d'obligation entre failli et intervenant, mais uniquement à déterminer si la prétention litigieuse doit être prise en considération dans la liquidation de la masse (ibidem). Certes, le juge constate l'existence et le montant ou l'inexistence de la prétention, mais il le fait à titre préjudiciel et sa décision sur ce point n'est qu'un motif de son jugement dans l'action en contestation de l'état de collocation. Un tel jugement ne sortit d'ailleurs d'effet que dans la liquidation de la faillite en cours et n'est pas opposable au failli qui n'est pas partie à la procédure judiciaire (ibidem ; Jaques, Commentaire Romand, Poursuite et faillite, 2005, n° 1 ad art. 250, p. 1132 ; Amonn/Walther, Grundriss des Schuldbetreibungs- und Konkursrecht, 9e éd., 2013, § 46 nos 47 et 62, pp. 431 et 434).</w:t>
      </w:r>
    </w:p>
    <w:p>
      <w:r>
        <w:rPr>
          <w:b/>
        </w:rPr>
        <w:t>E. 3.2.2</w:t>
      </w:r>
    </w:p>
    <w:p>
      <w:r>
        <w:t>Lorsqu'il s'agit de déterminer le contenu d'un contrat, le juge doit recourir en premier lieu à l'interprétation dite subjective, c'est-à-dire rechercher la "réelle et commune intention des parties", le cas échéant empiriquement, sur la base d'indices (art. 18 al. 1 CO). S'il y parvient, il s'agit d'une constatation de fait.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 ATF 132 III 268 consid. 2.3.2 ; ATF 130 III 686 consid. 4.3.1 ; ATF 122 III 118 consid. 2a ; ATF 118 II 342 consid. la ; 112 II 245 consid. c p. 253-254 et les réf. citées). Cette question ressortit au droit. Même si la teneur d'une clause contractuelle paraît claire à première vue, il peut résulter d'autres conditions du contrat, du but poursuivi par les parties ou d'autres circonstances que son texte ne restitue pas le sens de l'accord conclu ; cependant, il n'y a pas lieu de s'écarter du sens littéral lorsqu'il n'y a pas de raisons sérieuses de penser qu'il ne correspond pas à leur volonté (ATF 131 III 606 consid. 4.2 ; ATF 130 III 417 consid. 3.2 et les arrêts cités).</w:t>
      </w:r>
    </w:p>
    <w:p>
      <w:r>
        <w:rPr>
          <w:b/>
        </w:rPr>
        <w:t>E. 3.3</w:t>
      </w:r>
    </w:p>
    <w:p>
      <w:r>
        <w:t>En l'espèce, la clause d'exclusion litigieuse est claire et dénuée d'ambiguïté. Pour s'assurer de la valeur de sa garantie immobilière en deuxième rang, un prêteur peut fort bien vouloir écarter de nouvelles constitutions de rang préférable (art. 813 et 817 CC). C'est en vain que la recourante, en invoquant la protection de ses intérêts, soutient que la clause avait la portée d'exclure toute nouvelle garantie, quel que soit son rang, non autorisée par elle. Si tel avait été le cas, on ne discerne pas les motifs pour lesquels la clause n'aurait pas exprimé cette exclusion générale. Il n'y a dès lors aucune raison sérieuse de s'écarter du sens littéral de la clause d'exclusion, si bien que les prêts des 2 et 9 juillet 2012 ne violent aucun engagement contractuel et qu'il n'est pas nécessaire d'examiner si lors de leur conclusion l’intimé était déjà organe, le cas échéant de fait, de la société L.________SA.</w:t>
      </w:r>
    </w:p>
    <w:p>
      <w:r>
        <w:rPr>
          <w:b/>
        </w:rPr>
        <w:t>E. 4.1</w:t>
      </w:r>
    </w:p>
    <w:p>
      <w:r>
        <w:t>La recourante soutient ensuite que l’intimé n’aurait pas apporté la preuve que les montants des prêts qu’il avait accordés à la société L.________SA lui auraient effectivement été versés. Elle estime que le seul fait que l’Office des faillites ait admis la créance à l’état de collocation ne saurait constituer, comme l’a retenu le premier juge, la preuve de l’existence d’une créance ou plus précisément la preuve que les sommes prétendument prêtées avaient bel et bien été versées à la société L.________SA. Le premier juge aurait dès lors dû considérer que les créances produites par l’intimé dans la faillite de cette société ne devaient pas figurer dans l’état de collocation.</w:t>
      </w:r>
    </w:p>
    <w:p>
      <w:r>
        <w:rPr>
          <w:b/>
        </w:rPr>
        <w:t>E. 4.2</w:t>
      </w:r>
    </w:p>
    <w:p>
      <w:r>
        <w:t>Aux termes de l'art. 8 CC (Code civil suisse du 10 décembre 1907 ; RS 210),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Le juge enfreint en particulier l'art. 8 CC s'il tient pour exactes les allégations non prouvées d'une partie, nonobstant leur contestation par l'autre, ou s'il refuse toute administration de preuve sur des faits pertinents en droit (ATF 130 III 591 consid. 5.4 ; ATF 114 II 289 consid. 2a ; ATF 105 II 143 consid. 6a/aa). En présence de deux affirmations opposées des parties, les juridictions cantonales ne sauraient dès lors admettre celle qui leur paraît la plus plausible, sans avoir fait administrer des preuves, ne fût-ce que par des indices ou par l'interrogatoire des parties (ATF 71 II 127). Le fardeau de la preuve incombe au titulaire du droit qui fait l'objet de la contestation conformément à l'art. 8 CC : il s'agit du défendeur dans celle opposant deux intervenants (art. 250 al. 2 LP) comme en l'espèce. L'action en contestation de l'état de collocation est donc une action provocatoire (Jaques, op. cit., Poursuite et faillite, 2005, n. 4 ad. art. 250 LP). Un fait n'est établi que si le juge en est convaincu ; il est inadmissible de juger selon une simple vraisemblance là où l'intime conviction du juge fait défaut et où un doute subsiste dans l'état de fait, ou de se fonder sur des affirmations rendues simplement plausibles (ATF 104 II 216 ; 118 Il 235, JdT 1994 I 331).</w:t>
      </w:r>
    </w:p>
    <w:p>
      <w:r>
        <w:rPr>
          <w:b/>
        </w:rPr>
        <w:t>E. 4.3</w:t>
      </w:r>
    </w:p>
    <w:p>
      <w:r>
        <w:t>En l’espèce, il ressort de l’instruction que le 18 juin 2012, Q.________SA a écrit à l’intimé D.________ au sujet du financement de la société L.________SA, en se référant à des entretiens antérieurs concernant la demande de financement qu'elle lui avait soumise et en indiquant que « dans le cadre du contrat de prêt à conclure », les actionnaires et les administrateurs de la société seraient disposés à compléter les garanties hypothécaires (cédules en 2ème rang au porteur pour 450'000 fr.) par la mise en nantissement du capital social de la société (actions au porteur pour 3'520'000 fr.). Pour le surplus, il ressort de pièces produites au dossier de première instance que le compte courant de l’intimé auprès de la banque [...] a été débité de 300'000 fr., valeur au 2 juillet 2012, selon ordre du 2 juillet 2012, en faveur de Q.________SA, [...] à [...] et de 200'000 fr., valeur au 10 juillet 2012, selon ordre du 9 juillet 2012, en faveur du même bénéficiaire, le motif de ces deux paiements étant « participation ». L'intimé a adressé ces pièces bancaires à l'Office des faillites le 4 décembre 2014 en expliquant que ces transferts avaient été effectués par l'intermédiaire du compte de Q.________SA conformément aux instructions de [...]. Interpellée le 12 décembre 2013 par l'Office des faillites sur les motifs de ces crédits et leur utilisation et invitée à produire des justificatifs, Q.________SA, soit son administrateur [...], n'a pas répondu, du moins pas par écrit, aucune pièce constitutive d'une réponse n'ayant été produite. Quoi qu’il en soit, l'existence des prêts est établie par les conventions. La correspondance du 18 juin 2012 montre que Q.________SA a joué un rôle dans la négociation de ces prêts. Il ressort d'autres pièces du dossier que Q.________SA représentait L.________SA comme mandataire. Ainsi, le procès-verbal de l'assemblée générale extraordinaire du 23 juillet 2012 au cours de laquelle l'intimé a été nommé comme administrateur mentionne que [...], mandataire, fonctionnait comme secrétaire ad hoc. Le même mandataire est intervenu dans la liquidation de la société faillie, notamment en relation avec le contrat de financement conclu par L.________SA avec K.________SA. On constate également une correspondance entre le contenu des contrats et les débits bancaires, soit dans leurs dates, dans leurs montants et dans la remise au prêteur de cédules au porteur censées garantir le remboursement de ces prêts. Enfin, les contrats de prêt des 2 et 9 juillet 2012 comportent la mention finale « dont quittance », ce terme se rapportant au versement des fonds à l'emprunteuse, puisque – s'agissant de la remise des cédules en garantie – les conventions précisent expressément « ( quittance-reçu annexé ) » avec les références [...] et [...]. La quittance fait présumer de l'extinction de la dette (Denis Loertscher, Commentaire romand, 2e éd., Bâle 2012, n° 8 ad art. 88 CO) ; cette présomption n'est pas renversée dans le cas particulier, les montants en cause ayant certes été virés à un tiers, mais celui-ci était le mandataire de la destinataire du prêt et le prêteur a été nanti des cédules garantissant ses créances en remboursement. En définitive, l'intimé étant parvenu à prouver l'exécution des deux prêts garantis par gage immobilier, les créances de l’intimé consistant dans le remboursement des prêts de 300'000 et 200'000 fr. en capital et intérêts doivent demeurer inscrites à l'état de collocation. Quant au prêt de 10'000 fr., il apparaît que le compte courant de l’intimé à la banque [...] a été débité d’un montant équivalent, valeur au 15 février 2013, à destination de [...] à [...] avec l'indication « prêt à L.________SA ». Bien que sommaire, l'énonciation de la cause du paiement par l’intimé, qui à l'époque était administrateur de la société, prouve l'exécution de la prestation, même si le montant a été versé à un tiers sur instruction de la société. L'inscription de cette créance à l'état de collocation doit dès lors être également confirmée.</w:t>
      </w:r>
    </w:p>
    <w:p>
      <w:r>
        <w:rPr>
          <w:b/>
        </w:rPr>
        <w:t>E. 5.1</w:t>
      </w:r>
    </w:p>
    <w:p>
      <w:r>
        <w:t>En conclusion, le recours doit être rejeté et le jugement confirmé.</w:t>
      </w:r>
    </w:p>
    <w:p>
      <w:r>
        <w:rPr>
          <w:b/>
        </w:rPr>
        <w:t>E. 5.2</w:t>
      </w:r>
    </w:p>
    <w:p>
      <w:r>
        <w:t>Les frais judiciaires de deuxième instance, arrêtés à 100 fr. (art. 69 al. 1 TFJC [tarif des frais judiciaires civils du 28 septembre 2010 ; RSV 270.11.5]), seront mis à la charge de la recourante, qui succombe (art. 106 al. 1 CPC).</w:t>
      </w:r>
    </w:p>
    <w:p>
      <w:r>
        <w:rPr>
          <w:b/>
        </w:rPr>
        <w:t>E. 5.3</w:t>
      </w:r>
    </w:p>
    <w:p>
      <w:r>
        <w:t>Vu l’issue du litige, la recourante versera à l’intimé des dépens de deuxième instance qui seront arrêtés, compte tenu de l’importance de la cause, de ses difficultés, de l’ampleur du travail et du temps consacré à la procédure (art. 3 TDC [tarif des dépens en matière civile du 23 novembre 2010 ; RSV 270.11.6]), à 1'000 francs. Par ces motifs, la Chambre des recours civile du Tribunal cantonal, prononce : I. Le recours est rejeté. II. Le jugement est confirmé. III. Les frais judiciaires de deuxième instance, arrêtés à 100 fr. (cent francs), sont mis à la charge de la recourante B.________SA. IV. La recourante B.________SA doit verser à l’intimé D.________ la somme de 1'000 fr. (mille francs) à titre de dépens de deuxième instance. La présidente :               Le greffier : Du L'arrêt qui précède, dont la rédaction a été approuvée à huis clos, est notifié à : ‑ Me Alexandre Reil (pour B.________SA), ‑ Me Alain Vuithier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