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2017 / 148 vom 27. Februar 2017</w:t>
      </w:r>
    </w:p>
    <w:p>
      <w:r>
        <w:t>VD Tribunal cantonal, 2017-02-27, FR</w:t>
      </w:r>
    </w:p>
    <w:p>
      <w:r>
        <w:rPr>
          <w:b/>
        </w:rPr>
        <w:t xml:space="preserve">Quelle: </w:t>
      </w:r>
      <w:r>
        <w:t>https://mcp.opencaselaw.ch/entscheid/vd_findinfo_HC___2017___148</w:t>
      </w:r>
    </w:p>
    <w:p>
      <w:r>
        <w:t>FR: VD_FINDINFO HC / 2017 / 148 du 27 février 2017</w:t>
      </w:r>
    </w:p>
    <w:p>
      <w:r>
        <w:t>IT: VD_FINDINFO HC / 2017 / 148 del 27 febbraio 2017</w:t>
      </w:r>
    </w:p>
    <w:p>
      <w:pPr>
        <w:pStyle w:val="Heading2"/>
      </w:pPr>
      <w:r>
        <w:t>Regeste</w:t>
      </w:r>
    </w:p>
    <w:p>
      <w:r>
        <w:t>OBLIGATION D'ENTRETIEN, ENFANT, RÉTROACTIVITÉ, DEMANDE{ACTION EN JUSTICE}, AUTORISATION DE PROCÉDER, PROCÉDURE DE CONCILIATION | 279 al. 1 CC, 197 CPC (CH), 62 CPC (CH)</w:t>
      </w:r>
    </w:p>
    <w:p>
      <w:pPr>
        <w:pStyle w:val="Heading2"/>
      </w:pPr>
      <w:r>
        <w:t>Erwägungen</w:t>
      </w:r>
    </w:p>
    <w:p>
      <w:r>
        <w:rPr>
          <w:b/>
        </w:rPr>
        <w:t>E. 1.1</w:t>
      </w:r>
    </w:p>
    <w:p>
      <w:r>
        <w:t>L’appel est recevable contre les décisions finales de première instance, dans les causes exclusivement patrimoniales pour autant que la valeur litigieuse, au dernier état des conclusions devant l’autorité inférieure, soit de 10'000 fr. au moins (art. 308 al. 1 let. a et al. 2 CPC).</w:t>
      </w:r>
    </w:p>
    <w:p>
      <w:r>
        <w:rPr>
          <w:b/>
        </w:rPr>
        <w:t>E. 1.2</w:t>
      </w:r>
    </w:p>
    <w:p>
      <w:r>
        <w:t>Formé en temps utile (art. 311 al. 1 CPC) par une partie qui y a un intérêt (art. 59 al.</w:t>
      </w:r>
    </w:p>
    <w:p>
      <w:r>
        <w:rPr>
          <w:b/>
        </w:rPr>
        <w:t>E. 2</w:t>
      </w:r>
    </w:p>
    <w:p>
      <w:r>
        <w:t>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 JT 2010 III 134). Elle peut revoir l’appréciation des faits sur la base des preuves administrées en première instance (Tappy, op. cit., p. 135).</w:t>
      </w:r>
    </w:p>
    <w:p>
      <w:r>
        <w:rPr>
          <w:b/>
        </w:rPr>
        <w:t>E. 3.1</w:t>
      </w:r>
    </w:p>
    <w:p>
      <w:r>
        <w:t>Selon l’art. 279 al. 1 CC, l’enfant peut agir contre son père et sa mère, ou contre les deux ensemble, afin de leur réclamer l’entretien pour l’avenir et l’année qui précède l’ouverture de l’action. Par ouverture d'action, on entend l'acte de procédure par lequel une partie fait pour la première fois appel au juge dans les formes légales, aux fins d'obtenir la reconnaissance ou la protection du droit qu'il invoque (ATF 110 II 387 consid. 2a). Examinant l’application de l’art. 279 CC sous l’angle de l’ancien droit de procédure civile, la Cour de céans a retenu qu’une requête de conciliation valait ouverture d’action au sens de cette disposition, lorsque, selon le droit de procédure, la cause était transmise d'office au tribunal à défaut de conciliation, ou si la partie avait agi devant le juge dans le délai fixé à cet effet par la procédure cantonale (CACI 12 décembre 2012/574). En vertu de l’art. 295 al. 1 CPC, la procédure simplifiée s’applique aux actions par lesquelles l’enfant fait valoir certaines prétentions, telles la prétention d’aliments ou la constatation d’un lien de filiation, de façon autonome, soit en dehors de toute procédure préexistante opposant ses parents (Jeandin, CPC commenté, Bâle 2011, n. 1 ad art. 295 CPC). Comme la procédure ordinaire, la procédure simplifiée est précédée d’une tentative de conciliation (art. 197 CPC et 198 CPC a contrario). Selon l’art. 62 al. 1 CPC, qui fixe le début de la litispendance, l’instance est notamment introduite par le dépôt de la requête de conciliation. En matière d’actions d’entretien indépendantes, celui-ci correspond dès lors à l’ouverture d’action au sens de l’art. 279 CC, de sorte que le dépôt de cette requête s’avère déterminant pour le calcul du délai d’un an précédant l’ouverture d’action (TF 5A_184/2015 du 22 janvier 2016 consid. 4.3 ; Bohnet, CPC annoté, Neuchâtel 2016, n. 1 ad art. 62 CPC ; Müller-Chen, ZPO Schweizerische Zivilprozessordnung Kommentar, 2. Aufl. 2016, n. 20 ad art. 62 CPC).</w:t>
      </w:r>
    </w:p>
    <w:p>
      <w:r>
        <w:rPr>
          <w:b/>
        </w:rPr>
        <w:t>E. 3.2</w:t>
      </w:r>
    </w:p>
    <w:p>
      <w:r>
        <w:t>En l’espèce, l’appelante a ouvert action le 2 juin 2015 par le dépôt d’une requête de conciliation, obligatoire, et a déposé la demande dans le délai de trente jours dès la délivrance de l’acte de non-conciliation. L’action a ainsi été introduite le 2 juin 2015, de sorte que la contribution d’entretien est due par l’intimé dès le 2 juin 2014.</w:t>
      </w:r>
    </w:p>
    <w:p>
      <w:r>
        <w:rPr>
          <w:b/>
        </w:rPr>
        <w:t>E. 4.1</w:t>
      </w:r>
    </w:p>
    <w:p>
      <w:r>
        <w:t>En conséquence, l’appel doit être admis et le chiffre II du dispositif du jugement réformé dans le sens du considérant qui précède.</w:t>
      </w:r>
    </w:p>
    <w:p>
      <w:r>
        <w:rPr>
          <w:b/>
        </w:rPr>
        <w:t>E. 4.2</w:t>
      </w:r>
    </w:p>
    <w:p>
      <w:r>
        <w:t>Les frais judiciaires de deuxième instance, arrêtés à 740 fr. 40, soit 600 fr. d’émolument judiciaire selon l’art. 63 al. 1 TFJC (tarif des frais judiciaires civils du 28 septembre 2010 ; RSV 270.11.5) et 140 fr. 40 de frais de publication dans la Feuille des avis officiels (FAO), seront mis à la charge de l’intimé, qui succombe (art. 106 al. 1 CPC).</w:t>
      </w:r>
    </w:p>
    <w:p>
      <w:r>
        <w:rPr>
          <w:b/>
        </w:rPr>
        <w:t>E. 4.3</w:t>
      </w:r>
    </w:p>
    <w:p>
      <w:r>
        <w:t>La requête d’assistance judiciaire de l’appelante, limitée à l’exonération d’avances et des frais judiciaires, est dès lors sans objet. Pour le surplus, l’indemnité de l’avocate stagiaire Elza Reymond, due pour son activité de curatrice de l’enfant A.X.________ tant en première qu’en seconde instance, sera fixée par l’autorité de nomination, conformément à l’art. 3 al. 1 RCur (règlement sur la rémunération des curateurs du 18 décembre 2012 ; 211.255.2).</w:t>
      </w:r>
    </w:p>
    <w:p>
      <w:r>
        <w:rPr>
          <w:b/>
        </w:rPr>
        <w:t>E. 4.4</w:t>
      </w:r>
    </w:p>
    <w:p>
      <w:r>
        <w:t>Vu l’issue du litige, l’appelante a droit à de pleins dépens de deuxième instance qui seront arrêtés, compte tenu de l’importance de la cause, de ses difficultés, de l’ampleur du travail et du temps consacré à la procédure d’appel (art. 3 TDC [tarif des dépens en matière civile du 23 novembre 2010 ; RSV 270 11.6]), à 1'500 fr. (art. 9 al. 2 TDC).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