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125 vom 24. Januar 2017</w:t>
      </w:r>
    </w:p>
    <w:p>
      <w:r>
        <w:t>VD Tribunal cantonal, 2017-01-24, FR</w:t>
      </w:r>
    </w:p>
    <w:p>
      <w:r>
        <w:rPr>
          <w:b/>
        </w:rPr>
        <w:t xml:space="preserve">Quelle: </w:t>
      </w:r>
      <w:r>
        <w:t>https://mcp.opencaselaw.ch/entscheid/vd_findinfo_HC___2017___125</w:t>
      </w:r>
    </w:p>
    <w:p>
      <w:r>
        <w:t>FR: VD_FINDINFO HC / 2017 / 125 du 24 janvier 2017</w:t>
      </w:r>
    </w:p>
    <w:p>
      <w:r>
        <w:t>IT: VD_FINDINFO HC / 2017 / 125 del 24 gennaio 2017</w:t>
      </w:r>
    </w:p>
    <w:p>
      <w:pPr>
        <w:pStyle w:val="Heading2"/>
      </w:pPr>
      <w:r>
        <w:t>Regeste</w:t>
      </w:r>
    </w:p>
    <w:p>
      <w:r>
        <w:t>CONTRAT D'ENTREPRISE, DÉFAUT DE LA CHOSE, TRIBUNAL FÉDÉRAL, DÉCISION DE RENVOI | 366 al. 2 CO, 368 CO</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 RS 272]), soit notamment dans les affaires patrimoniales dont la valeur litigieuse, au dernier état des conclusions, est inférieure à 10'000 fr. au moins (cf. art. 308 al. 2 CPC). Le recours, écrit et motivé, est introduit auprès de l’instance de recours dans les 30 jours à compter de la notification de la décision motivée ou de la notification postérieure de la motivation (art. 321 al. 1 CPC). En l’espèce, formé en temps utile par une partie qui a un intérêt digne de protection (art. 59 al. 2 let. a CPC), dans une cause dont la valeur litigieuse est inférieure à 10'000 fr.,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Bâle 2011, n. 5 et 6 ad art. 320 CPC ; Corboz, Commentaire de la LTF, 2 e éd., Berne 2014, n. 27 ad art. 97 LTF). Les conclusions, les allégations de fait et les preuves nouvelles sont irrecevables (art. 326 al. 1 CPC).</w:t>
      </w:r>
    </w:p>
    <w:p>
      <w:r>
        <w:rPr>
          <w:b/>
        </w:rPr>
        <w:t>E. 3</w:t>
      </w:r>
    </w:p>
    <w:p>
      <w:r>
        <w:t>Le recourant considère que le premier juge aurait dû déduire des prétentions réclamées en paiement par l’intimé tous les montants de factures dont il se serait acquittés, soit 3'550 fr. 80 à Q.________Sàrl, 934 fr. 20, à L.________SA et 824 fr. à P.________.</w:t>
      </w:r>
    </w:p>
    <w:p>
      <w:r>
        <w:rPr>
          <w:b/>
        </w:rPr>
        <w:t>E. 3.1</w:t>
      </w:r>
    </w:p>
    <w:p>
      <w:r>
        <w:t>En l’espèce, il n’est pas contesté que les parties sont liées par un contrat d’entreprise.</w:t>
      </w:r>
    </w:p>
    <w:p>
      <w:r>
        <w:rPr>
          <w:b/>
        </w:rPr>
        <w:t>E. 3.2.1</w:t>
      </w:r>
    </w:p>
    <w:p>
      <w:r>
        <w:t>Pour que l’entrepreneur soit tenu à garantie, il faut que l’ouvrage présente un défaut, que celui-ci ne soit pas imputable au maître, et que celui-ci ne l’ait pas accepté (Tercier/Favre/Carron in Tercier/Favre (éd.), Les contrats spéciaux, 4 e éd., Zurich 2009, nn 4469 ss pp 674 ss). L'ouvrage livré par l'entrepreneur est entaché d'un défaut lorsqu'il lui manque l'une des qualités convenues expressément ou tacitement entre les parties, ou qu'il lui manque une qualité à laquelle le maître pouvait s'attendre d'après les règles de la bonne foi (ATF 131 III 145 consid. 3 et 4, JdT 2007 I 261; ATF 114 II 239 consid. 5a/aa, JdT 1984 I 148; TF 4A_428/2007 du 2 décembre 2008 consid. 3.1; TF 4A_173/2014 du 10 juin 2014 consid. 5.2; Tercier et alii, op. cit., n. 4474 p. 674). En présence de défauts, le maître peut choisir parmi les droits énumérés à l’art. 368 CO (Code des obligations du 30 mars 1911 ; RS 220). Ainsi, lorsque l'ouvrage est si défectueux ou si peu conforme à la convention que le maître ne peut en faire usage ou être équitablement contraint à l'accepter, il a le droit de le refuser et, si l'entrepreneur est en faute, de demander des dommages-intérêts (al. 1). Lorsque les défauts de l'ouvrage ou les infractions au contrat sont de moindre importance – respectivement s’il s’agit d’ouvrages sur le fonds du maître dont, à raison de leur nature, l’enlèvement présenterait des inconvénients excessifs (cf. al. 3) –, le maître peut réduire le prix en proportion de la moins-value ou obliger l'entrepreneur à réparer l'ouvrage à ses frais si la réfection est possible sans dépenses excessives, le droit de demander des dommages-intérêts lorsque l'entrepreneur est en faute étant réservé (cf. al. 2). Le maître est lié par son choix, qui procède de l'exercice d'un droit formateur. S'il demande la réfection de l'ouvrage et obtient satisfaction, il ne saurait exercer l'action rédhibitoire ou minutoire. Le maître de l'ouvrage ne peut pas, en lieu et place des droits alternatifs qui lui sont octroyés par l'art. 368 CO, soutenir qu'il y a mauvaise exécution du contrat et se prévaloir des art. 97 ss CO. Le droit formateur ne peut être exercé que par celui auquel il appartient; le juge ne peut en principe pas suppléer une volonté qui n'a pas été manifestée (ATF 136 III 273 consid. 2.2 et les arrêts cités, JdT 2011 II 187, SJ 2010 I 333; TF 4A_177/2014 du 8 septembre 2014 consid. 4.1).</w:t>
      </w:r>
    </w:p>
    <w:p>
      <w:r>
        <w:rPr>
          <w:b/>
        </w:rPr>
        <w:t>E. 3.2.2</w:t>
      </w:r>
    </w:p>
    <w:p>
      <w:r>
        <w:t>Pour se prévaloir de ces droits après la livraison de l'ouvrage, le maître doit en vérifier l'état aussitôt qu'il le peut d'après la marche habituelle des affaires et en signaler les défauts à l'entrepreneur, s'il y a lieu (cf. art. 367 al. 1 CO). L’art. 370 CO prévoit que s’il omet de le faire, l'ouvrage est tacitement accepté (al. 2) avec pour effet de décharger l'entrepreneur de toute responsabilité, à moins qu'il ne s'agisse de défauts qui ne pouvaient être constatés lors de la vérification régulière et de la réception de l'ouvrage ou que l'entrepreneur a intentionnellement dissimulés (al. 1); si les défauts ne se manifestent que plus tard, le maître est tenu de les signaler à l'entrepreneur aussitôt qu'il en a connaissance, à défaut de quoi l'ouvrage est tenu pour accepté avec ces défauts (al. 3). L’avis des défauts n’est soumis à aucune forme particulière (ATF 107 II 172 consid. 6.2, JdT 1981 I 598; TF 4A_82/2008 du 29 avril 2009 consid. 6.1) mais doit être motivé et indiquer, dans la mesure du possible, la description de chaque défaut, son type, son étendue et le cas échéant son emplacement, ainsi que le fait que le maître estime que l’ouvrage n’est pas conforme au contrat et qu’il entend tenir l’entrepreneur pour responsable (ATF 107 II 172 précité consid. 6.2; TF 4A_53/2012 consid. 6.2 et 6.4). Le maître doit effectuer l’avis immédiatement (TF 4A_55/2012 du 31 juillet 2012 consid. 6.1; TF 4C.151/2005 du 29 août 2005 consid. 5.1). Il ne peut toutefois y avoir de défaut – et donc d’avis – qu’en présence d’un ouvrage achevé et livré (ATF 94 II 161 consid. 2c, JdT 1969 I 650; Tercier/Favre/Carron, op. cit., n. 4481 p. 675 et réf. cit.).</w:t>
      </w:r>
    </w:p>
    <w:p>
      <w:r>
        <w:rPr>
          <w:b/>
        </w:rPr>
        <w:t>E. 3.2.3</w:t>
      </w:r>
    </w:p>
    <w:p>
      <w:r>
        <w:t>La réfection de l’ouvrage (art. 368 al. 2 CO, 2 e hypothèse) peut être exécutée par un tiers, lorsque l’entrepreneur se révèle incapable d’éliminer le défaut. Dans ce contexte, la jurisprudence admet une application de l’art. 366 al. 2 CO par analogie (Chaix, Commentaire romand, CO I, 2 e éd., n. 53 ad art. 368 CO). D'après l'art. 366 al. 2 CO, s'il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Cette disposition régit un cas d'exécution par substitution, sans qu'il soit nécessaire de requérir au préalable une autorisation du juge (ATF 126 III 230 consid. 7a). S’agissant en particulier de la troisième condition posée à l’art. 366 al. 2 CO, la simple fixation d’un délai par le maître n’est pas suffisante. La menace de l’exécution par un tiers est nécessaire, l’entrepreneur devant être informé des conséquences de son éventuelle passivité. Le maître doit donc obligatoirement fixer à l'entrepreneur – sous la réserve des cas décrits à l'art. 108 CO – un délai d'exécution convenable et le menacer qu'à l'échéance du délai, s'il ne réagit pas, il fera appel aux services d'un tiers (Zindel/Pulver, Basler Kommentar, Obligationenrecht vol. I, 5 e éd., 2011, n. 36 ad art. 366 CO; Chaix, op. cit., nn. 33 et 34 ad art. 366 CO). La fixation d’un délai n’est pas nécessaire lorsqu’il apparaît que cette mesure serait sans effet, par exemple si l’entrepreneur se révèle d’emblée totalement incapable d’éliminer le défaut ou s’il manifeste, expressément ou par actes concluants, qu’il n’entend rien modifier à la situation (Chaix, op. cit., n. 33 et 34 CO).</w:t>
      </w:r>
    </w:p>
    <w:p>
      <w:r>
        <w:rPr>
          <w:b/>
        </w:rPr>
        <w:t>E. 3.2.4</w:t>
      </w:r>
    </w:p>
    <w:p>
      <w:r>
        <w:t>Le maître de l’ouvrage supporte le fardeau de la preuve de l’existence des défauts au moment de la livraison de l’ouvrage. La preuve de l’exercice des droits formateurs incombe également au maître (Chaix, op. cit., n. 74 ad art. 368 CO).</w:t>
      </w:r>
    </w:p>
    <w:p>
      <w:r>
        <w:rPr>
          <w:b/>
        </w:rPr>
        <w:t>E. 3.3.1</w:t>
      </w:r>
    </w:p>
    <w:p>
      <w:r>
        <w:t>Le recourant fait tout d’abord valoir que le premier juge aurait dû déduire du solde de 6'861 fr. 05 qu’il reste devoir à l’intimé le montant de 3'550 fr. 80, correspondant à la facture de Q.________Sàrl, dont il se serait acquitté. Rien au dossier ne permet d’établir que le recourant a bel et bien versé le montant précité au sous-traitant. Le fait que le recourant et Q.________Sàrl se soient « entendus » sur le montant à verser par celui-ci ne suffit pas encore à apporter la preuve que le paiement a réellement été effectué. La pièce 109 alléguée en procédure fait état d’une correspondance entre le sous-traitant et l’entrepreneur mais n’établit aucun versement direct au sous-traitant par le maître de l’ouvrage. Dans ces conditions, cette prétention du recourant ne pouvait pas être retenue par le premier juge, faute de preuve. On ne discerne à cet égard aucune violation de l’art. 247 CPC, la maxime inquisitoire ne s’appliquant pas à ce genre de litiges (art. 247 al. 2 CPC a contrario ). Au reste, comme le relève pertinemment le premier juge, on comprend mal pour quelle raison le sous-traitant indique, dans son courrier du 30 juin 2010, vouloir instrumenter une hypothèque légale contre le propriétaire du bien-fonds si, comme le prétend le recourant, un règlement à l’amiable est intervenu avec ce sous-traitant le 11 mai 2010. Faut de démontrer l’arbitraire dans l’établissement des faits, le premier grief du recourant doit être rejeté.</w:t>
      </w:r>
    </w:p>
    <w:p>
      <w:r>
        <w:rPr>
          <w:b/>
        </w:rPr>
        <w:t>E. 3.3.2</w:t>
      </w:r>
    </w:p>
    <w:p>
      <w:r>
        <w:t>Le recourant soutient ensuite que les montants des factures des travaux relatifs à la canalisation bouchée dans la salle de bains exécutés les 25 et 26 octobre 2011, soit 943 fr. 20 en faveur de L.________SA et 824 fr. en faveur de P.________, auraient également dus être déduits du solde de 6'861 fr. 05 qu’il reste devoir à l’intimé. En l’espèce, aucun élément au dossier ne permet d’affirmer que le recourant s’est conformé à la règle de l’art. 370 al. 3 CO, selon laquelle, si les défauts ne se manifestent que plus tard, le maître est tenu de les signaler à l’entrepreneur aussitôt qu’il en a connaissance, à défaut de quoi l’ouvrage est tenu pour accepté avec ces défauts. Le recourant soutient à cet égard qu’il s’agissait de défauts cachés. Le premier juge ne dit pas le contraire. Mais cela n’empêchait toutefois pas le recourant de réagir immédiatement ensuite de l’intervention de l’entreprise L.________SA. Il ne prétend d’ailleurs pas qu’il ait avisé l’intimé. Dans ces conditions, le recourant ne peut plus se prévaloir de l’art. 368 CO. Le moyen doit ainsi être rejeté.</w:t>
      </w:r>
    </w:p>
    <w:p>
      <w:r>
        <w:rPr>
          <w:b/>
        </w:rPr>
        <w:t>E. 4</w:t>
      </w:r>
    </w:p>
    <w:p>
      <w:r>
        <w:t>En définitive, le recours doit être rejeté selon le mode procédural de l’art. 322 al. 1 CPC et la décision entreprise confirmée. Les frais judiciaires de deuxième instance, arrêtés à 400 fr. (art. 69 al. 1 TFJC [tarif des frais judicaires civils du 28 septembre 2010 ; RSV 270.11.5]), seront mis à la charge du recourant, qui succombe (art. 106 al. 1 CPC). L’intimé n’ayant pas été invité se déterminer sur le recours, il n’y a pas matière à l’allocation de dépens de deuxième instance.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R.________. IV. L’arrêt est exécutoire. La présidente :               La greffière : Du L'arrêt qui précède est notifié en expédition complète, par l'envoi de photocopies, à : ‑ Me Olivier Carré (pour R.________),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