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1126 vom 15. Dezember 2017</w:t>
      </w:r>
    </w:p>
    <w:p>
      <w:r>
        <w:t>VD Tribunal cantonal, 2017-12-15, FR</w:t>
      </w:r>
    </w:p>
    <w:p>
      <w:r>
        <w:rPr>
          <w:b/>
        </w:rPr>
        <w:t xml:space="preserve">Quelle: </w:t>
      </w:r>
      <w:r>
        <w:t>https://mcp.opencaselaw.ch/entscheid/vd_findinfo_HC___2017___1126</w:t>
      </w:r>
    </w:p>
    <w:p>
      <w:r>
        <w:t>FR: VD_FINDINFO HC / 2017 / 1126 du 15 décembre 2017</w:t>
      </w:r>
    </w:p>
    <w:p>
      <w:r>
        <w:t>IT: VD_FINDINFO HC / 2017 / 1126 del 15 dicembre 2017</w:t>
      </w:r>
    </w:p>
    <w:p>
      <w:pPr>
        <w:pStyle w:val="Heading2"/>
      </w:pPr>
      <w:r>
        <w:t>Regeste</w:t>
      </w:r>
    </w:p>
    <w:p>
      <w:r>
        <w:t>ORGANISATION{EN GÉNÉRAL}, SOCIÉTÉ ANONYME | 731b al. 1 CO</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 pratique tend à estimer la valeur litigieuse d’après le capital nominal de la société (TF 4A_630/2011 du 7 mars 2012 consid. 1, in Praxis 2012 p. 702 ; 4A_315/2010 du 19 août 2010 consid. 2 ; cf. aussi 4A_2015/2015 du 2 octobre 2015 consid. 1.1 ; Marcel Schönbachler, Die Organisationsklage nach Art. 731b OR, 2013, p. 412 ss). En l’espèce, la décision attaquée rejette la requête formée par A.F.________ tendant à ce qu’un commissaire soit nommé pour faire valoir les droits de la société F.________ SA dans le cadre d’une procédure pénale ouverte contre ses administrateurs. Dans la mesure où le capital nominal de la société est de 1'500'000 fr., il y a lieu de retenir que la valeur litigieuse excède le minimum légal de 10'000 fr. et, ainsi, que la voie de l’appel est ouverte.</w:t>
      </w:r>
    </w:p>
    <w:p>
      <w:r>
        <w:rPr>
          <w:b/>
        </w:rPr>
        <w:t>E. 1.2</w:t>
      </w:r>
    </w:p>
    <w:p>
      <w:r>
        <w:t>L’appel, écrit et motivé, doit être introduit dans les 10 jours si la décision a été rendue en procédure sommaire (art. 314 CPC). Tel est le cas s’agissant d’une décision relative aux carences dans l’organisation d’une société au sens de l’art. 713b CO (art. 250 let. c ch. 6 CPC). En l’occurrence, l’acte a été déposé en temps utile et l’appel est dès lors recevable.</w:t>
      </w:r>
    </w:p>
    <w:p>
      <w:r>
        <w:rPr>
          <w:b/>
        </w:rPr>
        <w:t>E. 2.1</w:t>
      </w:r>
    </w:p>
    <w:p>
      <w:r>
        <w:t>L’appelant fait valoir que le premier juge aurait dû retenir l’existence d’un conflit d’intérêts au sein de la société, de sorte que la nomination d’un commissaire était justifiée.</w:t>
      </w:r>
    </w:p>
    <w:p>
      <w:r>
        <w:rPr>
          <w:b/>
        </w:rPr>
        <w:t>E. 2.2</w:t>
      </w:r>
    </w:p>
    <w:p>
      <w:r>
        <w:t>Selon l’art. 731b al. 1 CO, inséré dans une section intitulée « carences dans l’organisation de la société », lorsque la société ne possède pas tous les organes prescrits ou que l’un de ces organes n’est pas composé conformément aux prescriptions, un actionnaire, un créancier ou le préposé au registre du commerce peut requérir du juge qu’il prenne les mesures nécessaires. Ce dernier peut notamment fixer un délai à la société pour rétablir la situation légale, sous peine de dissolution (1), nommer l’organe qui fait défaut ou un commissaire (2), prononcer la dissolution de la société et ordonner sa liquidation selon les dispositions applicables à la faillite (3). Cette disposition s’applique en cas de contravention à des règles impératives sur l’organisation de la société. Il y a carence non seulement lorsqu’un organe obligatoire fait défaut, mais aussi lorsque sa composition n’est pas conforme aux exigences légales. Sont notamment visés l’absence de conseil d’administration (art. 707 CO) ou d’organe de révision (art. 727 CO), le manque de qualification ou d’indépendance requise (art. 727b ss CO), le non-respect des règles concernant le domicile (art. 718 al. 4 et 730 al. 4 CO), l’incapacité civile d’un organe, ou un blocage persistant au sein de l’actionnariat ou du conseil d’administration, qui empêche l’élection d’un organe ou la conduite des affaires (Message concernant la révision du code des obligation du 19 décembre 2001, FF 2002 3028 ; Peter Böckli, Schweizer Aktienrecht, 4 e éd. 2009, p. 1740 n. 491 ; Henry Peter/Francesca Cavadini, in Commentaire romand, Code des obligations II, 2008, n. 2 à 4 et 12 ad art. 731bCO ; Rolf Watter/Charlotte Wieser, in Basler Kommentar, Obligationenrecht II, 3 e éd. 2008, n. 5 s. ad art. 731b CO). Selon la jurisprudence fédérale, les conflits d’intérêts dans la direction des organes peuvent, dans certains cas, également conduire à l’inaptitude d’un organe, et ainsi à une carence dans l’organisation au sens de l’art. 731b CO, celui-ci ayant abrogé les anciens art. 392 ch. 2 et 393 ch. 4 CC qui permettaient d’instituer, en faveur des sociétés, une curatelle de représentation, notamment en cas de conflit d’intérêts entre la société et ses organes (TF 4A_717/2014 du 29 juin 2015 consid. 2.3). Le Tribunal fédéral considère ainsi qu’il existe un conflit d’intérêt impliquant une carence dans l’organisation de la société non seulement lorsque, dans le cadre d’une plainte pénale, l’organe exécutif représente à la fois le plaignant et le défendeur, mais également à chaque fois que les intérêts de la société ne peuvent, dans un cas particulier, pas être distingués et représentés de façon indépendante par les administrateurs, dont les intérêts divergent. Dans un cas particulier, il a considéré qu’il était évident que le président du conseil d’administration, contre lequel la plainte pénale était dirigée, ne pouvait plus assumer de manière indépendante les intérêts de la société potentiellement lésée, mais que tel n’était pas non plus le cas des deux autres membres du Conseil d’administration, qui étaient impliqués dans la transaction dont la conclusion était à l’origine de la plainte. Ainsi, le Tribunal fédéral a constaté que la société ne disposait d’aucun organe qui puisse la représenter de manière indépendante dans la procédure pénale et, dans ces circonstances, puisque tous les directeurs se trouvaient en conflit d’intérêt avec la société, que le tribunal inférieur n’avait enfreint aucune loi fédérale en désignant un représentant temporaire à la société afin de sauvegarder ses intérêts dans le cadre de la procédure pénale en cours (TF 4A_717/2014 du 29 juin 2015 consid. 2.5.2).</w:t>
      </w:r>
    </w:p>
    <w:p>
      <w:r>
        <w:rPr>
          <w:b/>
        </w:rPr>
        <w:t>E. 2.3</w:t>
      </w:r>
    </w:p>
    <w:p>
      <w:r>
        <w:t>En l’espèce, l’analyse du premier juge ne prête pas le flanc à la critique et peut être confirmée. L’arrêt du Tribunal fédéral précité indique en effet qu’une mesure au sens de l’art. 731b CO peut être justifiée en cas de conflit d’intérêts au sein d’un organe, notamment lorsqu’une plainte pénale est déposée contre l’un de ses dirigeants. Toutefois, le cas d’espèce présente des particularités puisque, comme l’a à juste titre relevé le premier juge, aucun élément concret ne vient, même au stade de la vraisemblance, appuyer les dires de l’appelant, qui s’est contenté de produire les accusés de réception des plaintes pénales déposées contre ses frères et un ordre de perquisition ordonné par le Ministère public dans ce cadre. Il n’a apporté aucun élément permettant d’étayer de façon concrète les soupçons à contre ses frères, par exemple des procès-verbaux d’audition, des rapports de police ou des résultats d’investigation permettant de penser, avec un certain degré de plausibilité, que la société intimée aurait effectivement été lésée par les agissements de ses administrateurs. Or, compte tenu du contexte particulièrement conflictuel dans lequel s’intègrent ces plaintes pénales, c’est à raison que le Président a considéré qu’il y avait lieu de se montrer exigeant en matière de preuves, la mesure requise étant particulièrement invasive pour la société intimée. Il paraîtrait en effet inconcevable qu’un conseil d’administration puisse être privé même partiellement de ses prérogatives au profit d’un commissaire spécial sur la base de simples allégations d’un actionnaire mécontent. Comme relevé par le premier juge, si l’enquête venait à mettre en lumière des éléments tangibles qui permettent d’accréditer sa thèse, l’opportunité de nommer un commissaire pour représenter l’intimée dans le cadre des plaintes pénales pourra être réexaminée. Par ailleurs, on peut encore relever que l’actionnaire ayant des soupçons envers son conseil d’administration mais ne disposant d’aucun élément tangible devrait user de la voie du contrôle spécial (art. 697s ss CO), ce qui lui permettrait précisément, le cas échéant, de mettre en lumière des éléments tangibles lui permettant par la suite de solliciter de manière convaincante l’institution d’un commissaire.</w:t>
      </w:r>
    </w:p>
    <w:p>
      <w:r>
        <w:rPr>
          <w:b/>
        </w:rPr>
        <w:t>E. 3.1</w:t>
      </w:r>
    </w:p>
    <w:p>
      <w:r>
        <w:t>Au vu de ce qui précède, l’appel doit être rejeté selon le mode procédural de l’art. 312 al. 1 CPC et la décision attaquée confirmée.</w:t>
      </w:r>
    </w:p>
    <w:p>
      <w:r>
        <w:rPr>
          <w:b/>
        </w:rPr>
        <w:t>E. 3.2</w:t>
      </w:r>
    </w:p>
    <w:p>
      <w:r>
        <w:t>Les frais judiciaires de deuxième instance, arrêtés à 1’500 fr. (art. 4 et 62 al. 1 TFJC [tarif des frais judiciaires civils du 28 septembre 2010 ;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