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1100 vom 23. November 2017</w:t>
      </w:r>
    </w:p>
    <w:p>
      <w:r>
        <w:t>VD Tribunal cantonal, 2017-11-23, FR</w:t>
      </w:r>
    </w:p>
    <w:p>
      <w:r>
        <w:rPr>
          <w:b/>
        </w:rPr>
        <w:t xml:space="preserve">Quelle: </w:t>
      </w:r>
      <w:r>
        <w:t>https://mcp.opencaselaw.ch/entscheid/vd_findinfo_HC___2017___1100</w:t>
      </w:r>
    </w:p>
    <w:p>
      <w:r>
        <w:t>FR: VD_FINDINFO HC / 2017 / 1100 du 23 novembre 2017</w:t>
      </w:r>
    </w:p>
    <w:p>
      <w:r>
        <w:t>IT: VD_FINDINFO HC / 2017 / 1100 del 23 novembre 2017</w:t>
      </w:r>
    </w:p>
    <w:p>
      <w:pPr>
        <w:pStyle w:val="Heading2"/>
      </w:pPr>
      <w:r>
        <w:t>Regeste</w:t>
      </w:r>
    </w:p>
    <w:p>
      <w:r>
        <w:t>CAS CLAIR, EXPULSION DE LOCATAIRE | 257 CPC (CH)</w:t>
      </w:r>
    </w:p>
    <w:p>
      <w:pPr>
        <w:pStyle w:val="Heading2"/>
      </w:pPr>
      <w:r>
        <w:t>Erwägungen</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 a). Au vu du montant du loyer de l’appartement en cause, la valeur litigieuse est en l’espèce supérieure à 10'000 fr., de sorte que la voie de l'appel est ouverte (art. 308 al.</w:t>
      </w:r>
    </w:p>
    <w:p>
      <w:r>
        <w:rPr>
          <w:b/>
        </w:rPr>
        <w:t>E. 1.2</w:t>
      </w:r>
    </w:p>
    <w:p>
      <w:r>
        <w:t>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l’appréciation des faits sur la base des preuves administrées en première instance (JdT 2011 III 43 ; Tappy, op. cit., p. 135).</w:t>
      </w:r>
    </w:p>
    <w:p>
      <w:r>
        <w:rPr>
          <w:b/>
        </w:rPr>
        <w:t>E. 3</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 citées). Lorsque le juge considère que les conditions légales sont remplies, il accorde la protection. Dans ce cas, la décision est définitive et elle est revêtue de l’autorité de la chose jugée une fois entrée en force. En revanche, si le juge considère que la protection ne peut pas être accordée, il doit refuser d’entrer en matière et déclarer la demande irrecevable. Le litige demeure entier (Bohnet, CPC commenté, 2011, n. 23 ad art. 257 CPC et la réf. citée).</w:t>
      </w:r>
    </w:p>
    <w:p>
      <w:r>
        <w:rPr>
          <w:b/>
        </w:rPr>
        <w:t>E. 4</w:t>
      </w:r>
    </w:p>
    <w:p>
      <w:r>
        <w:t>A l’appui de leur appel, B.B.________ et A.B.________ (ci-après : les appelants) ont produit une série de pièces, qui sont recevables, dès lors qu’elles figuraient déjà au dossier de première instance.</w:t>
      </w:r>
    </w:p>
    <w:p>
      <w:r>
        <w:rPr>
          <w:b/>
        </w:rPr>
        <w:t>E. 5.1</w:t>
      </w:r>
    </w:p>
    <w:p>
      <w:r>
        <w:t>Les appelants font valoir que le bail ne comporterait pas de double signature, alors que la bailleresse L.________ (ci-après : l’intimée) ne pourrait pas être engagée par la signature individuelle de ses membres selon l'inscription au Registre du commerce. Ils en déduisent que la procédure d'expulsion serait invalide.</w:t>
      </w:r>
    </w:p>
    <w:p>
      <w:r>
        <w:rPr>
          <w:b/>
        </w:rPr>
        <w:t>E. 5.2</w:t>
      </w:r>
    </w:p>
    <w:p>
      <w:r>
        <w:t>Aux termes de l’art. 151 CPC, les faits notoires ou notoirement connus du tribunal et les règles d’expérience généralement reconnues ne doivent pas être prouvés. Selon la jurisprudence, les faits notoires, qu’il n’est pas nécessaire d’alléguer ni de prouver, sont ceux dont l’existence est certaine au point d’emporter la conviction du juge, qu’il s’agisse de faits connus de manière générale du public ou seulement du juge. Une inscription au Registre du commerce constitue un fait notoire (ATF 138 III 557 consid. 6.2 ; ATF 135 III 88 consid. 4.1 ; TF 4A_412/2012 du 4 mai 2012 consid. 2.2 ; TF 4A_645/2011 du 27 janvier 2012 consid. 3.4.2, SJ 2012 I 377 ; TF 4A_261/2013 du 1 er octobre 2013 consid. 4.3, RSPC 2014 p. 34), qui peut être retenu d'office, y compris en deuxième instance (TF 4A_412/2011 du 4 mai 2012 consid. 2.3, non publié in ATF 138 III 294 ; TF 4A_261/2013 du ler octobre 2013 consid. 4.3).</w:t>
      </w:r>
    </w:p>
    <w:p>
      <w:r>
        <w:rPr>
          <w:b/>
        </w:rPr>
        <w:t>E. 5.3</w:t>
      </w:r>
    </w:p>
    <w:p>
      <w:r>
        <w:t>En l’espèce, l’intimée est engagée par la signature collective à deux de ses administrateurs. Les appelants ne peuvent cependant rien en déduire en leur faveur. Ils ont en effet occupé les locaux faisant l'objet du contrat et payé certains loyers, sans que cela fasse l'objet de la moindre contestation de la part de la bailleresse. La validité du contrat de bail –  ensuite d'une ratification tacite des parties – ne fait pas de doute.</w:t>
      </w:r>
    </w:p>
    <w:p>
      <w:r>
        <w:rPr>
          <w:b/>
        </w:rPr>
        <w:t>E. 6.1</w:t>
      </w:r>
    </w:p>
    <w:p>
      <w:r>
        <w:t>Les appelants font encore valoir que la procuration à l'agent d'affaires Martine Schlaeppi ne serait pas valable, car elle ne comporterait pas la double signature des représentants autorisés à signer de l'intimée. La sommation et la résiliation auraient ainsi été données par un représentant sans pouvoirs.</w:t>
      </w:r>
    </w:p>
    <w:p>
      <w:r>
        <w:rPr>
          <w:b/>
        </w:rPr>
        <w:t>E. 6.2.1</w:t>
      </w:r>
    </w:p>
    <w:p>
      <w:r>
        <w:t>La production de pièces nouvelles et l’allégation de faits nouveaux en deuxième instance sont exclues dans les procédures sommaires pour cas clairs, même celles qui sont visées par l'art. 317 al. 1 CPC (TF 4A_312/2013 du 17 octobre 2013 consid. 3.2).</w:t>
      </w:r>
    </w:p>
    <w:p>
      <w:r>
        <w:rPr>
          <w:b/>
        </w:rPr>
        <w:t>E. 6.2.2</w:t>
      </w:r>
    </w:p>
    <w:p>
      <w:r>
        <w:t>La résiliation est un droit formateur qui s'exerce par un acte juridique unilatéral, lequel peut émaner d'un représentant d'une partie au contrat. De manière générale, la manifestation de volonté de celui qui agit au nom d'autrui lie le représenté lorsque le représentant dispose des pouvoirs nécessaires à cet effet (art. 32 al. 1 CO) ou lorsque le représenté ratifie l'acte accompli en son nom (art. 38 CO) ou encore lorsque le tiers peut se fier de bonne foi aux pouvoirs qui lui sont communiqués (art. 33 al. 3, 34 al. 3 et 37 CO) (ATF 131 III 511 consid. 3.1 ; TF 4A_478/2015 du 20 mai 2016 consid. 3.1). Le refus de l'acte pour défaut de procuration doit intervenir en principe immédiatement, avec pour effet l'invalidité de l'acte (TF 4A_478/2015 du 20 mai 2016 consid. 3.1). Une personne morale, tout comme une personne physique, peut désigner un représentant, selon les mécanismes généraux des art. 32 ss CO, pour accomplir en son nom un ou plusieurs actes déterminés, même si le représentant est l'un de ses organes (cf. CACI 8 mars 2013/138 et la réf. citée), le pouvoir de représenter une société ne devant pas nécessairement faire l'objet d'un écrit ni être inscrit au Registre du commerce, mais pouvant être donné tacitement (ATF 96 Il 439, rés. in JdT 1971 I 376).</w:t>
      </w:r>
    </w:p>
    <w:p>
      <w:r>
        <w:rPr>
          <w:b/>
        </w:rPr>
        <w:t>E. 6.3.1</w:t>
      </w:r>
    </w:p>
    <w:p>
      <w:r>
        <w:t>En l’espèce, l'absence prétendue de pouvoirs du mandataire de l'intimée n'a pas été alléguée par les appelants en première instance, alors qu’elle aurait dû et pu l’être. Elle ne saurait être prise en compte dans la procédure de deuxième instance. Par voie de conséquence, le moyen est irrecevable.</w:t>
      </w:r>
    </w:p>
    <w:p>
      <w:r>
        <w:rPr>
          <w:b/>
        </w:rPr>
        <w:t>E. 6.3.2</w:t>
      </w:r>
    </w:p>
    <w:p>
      <w:r>
        <w:t>Au demeurant, à supposer recevable, il serait infondé. En effet, les appelants n'ont jamais mis en doute les pouvoirs de l'agent d'affaires au moment de la signification de la résiliation, ni d'ailleurs en première instance. Par ailleurs, il n'y a pas lieu de remettre en cause lesdits pouvoirs, étant rappelé qu'une personne morale peut désigner un représentant dont le pouvoir de représenter ne doit pas nécessairement faire l'objet d'un écrit ou d’une inscription au Registre du commerce, mais peut être donné tacitement.</w:t>
      </w:r>
    </w:p>
    <w:p>
      <w:r>
        <w:rPr>
          <w:b/>
        </w:rPr>
        <w:t>E. 7</w:t>
      </w:r>
    </w:p>
    <w:p>
      <w:r>
        <w:t>Pour le surplus, les appelants ne remettent à juste titre pas en cause que les conditions de l'art. 257d CO sont réalisées. Il n'y a ainsi pas lieu d'y revenir.</w:t>
      </w:r>
    </w:p>
    <w:p>
      <w:r>
        <w:rPr>
          <w:b/>
        </w:rPr>
        <w:t>E. 8</w:t>
      </w:r>
    </w:p>
    <w:p>
      <w:r>
        <w:t>Compte tenu de ce qui précède, l’appel doit être rejeté selon le mode procédural de l’art. 312 al. 1 CPC et l’ordonnance confirmée. Les frais judiciaires de deuxième instance, arrêtés à 200 fr. (art. 62 al. 3 et 69 al. 1 TFJC [tarif des frais judiciaires en matière civile du 28 septembre 2010 ; RSV 270.11.5]), seront mis à la charge des appelants B.B.________ et A.B.________, qui succombent, solidairement entre eux (art. 106 al. 1 et 3 CPC). L’intimée n’ayant pas été invitée à se déterminer, il n’y a pas lieu à l’allocation de dépens.</w:t>
      </w:r>
    </w:p>
    <w:p>
      <w:r>
        <w:rPr>
          <w:b/>
        </w:rPr>
        <w:t>E. 9</w:t>
      </w:r>
    </w:p>
    <w:p>
      <w:r>
        <w:t>Aux termes de l’art. 334 CPC, le dispositif d’une décision peut être interprété ou rectifié, sur requête ou d’office, lorsqu’il est peu clair, contradictoire ou incomplet ou qu’il ne correspond pas à la motivation (al. 1). En cas d’erreur d’écriture ou de calcul, le tribunal peut renoncer à demander aux parties de se déterminer (al. 2). En l’espèce, le dispositif notifié aux parties le 27 novembre 2017 comporte une erreur d’écriture manifeste, en ce sens qu’il mentionne que l’appartement à libérer se situe à [...], [...] au lieu de [...]. Il sera rectifié dans le présent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