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1042 vom 20. November 2017</w:t>
      </w:r>
    </w:p>
    <w:p>
      <w:r>
        <w:t>VD Tribunal cantonal, 2017-11-20, FR</w:t>
      </w:r>
    </w:p>
    <w:p>
      <w:r>
        <w:rPr>
          <w:b/>
        </w:rPr>
        <w:t xml:space="preserve">Quelle: </w:t>
      </w:r>
      <w:r>
        <w:t>https://mcp.opencaselaw.ch/entscheid/vd_findinfo_HC___2017___1042</w:t>
      </w:r>
    </w:p>
    <w:p>
      <w:r>
        <w:t>FR: VD_FINDINFO HC / 2017 / 1042 du 20 novembre 2017</w:t>
      </w:r>
    </w:p>
    <w:p>
      <w:r>
        <w:t>IT: VD_FINDINFO HC / 2017 / 1042 del 20 novembre 2017</w:t>
      </w:r>
    </w:p>
    <w:p>
      <w:pPr>
        <w:pStyle w:val="Heading2"/>
      </w:pPr>
      <w:r>
        <w:t>Regeste</w:t>
      </w:r>
    </w:p>
    <w:p>
      <w:r>
        <w:t>OBLIGATION D'ENTRETIEN, ENFANT, MESURE PROVISIONNELLE | 285 CC</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1.3</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consid. 2 et les références citées). En l'occurrence, l'appelant a produit de nouvelles pièces, sans alléguer ni démontrer d'aucune manière qu'il n'aurait pu le faire devant le premier juge. Partant, ces documents sont irrecevables.</w:t>
      </w:r>
    </w:p>
    <w:p>
      <w:r>
        <w:rPr>
          <w:b/>
        </w:rPr>
        <w:t>E. 2</w:t>
      </w:r>
    </w:p>
    <w:p>
      <w:r>
        <w:t>Invoquant une violation de l'art. 285 CC ainsi qu'une constatation inexacte des faits, l'appelant conteste le montant de la contribution d'entretien due pour l'entretien de son enfant.</w:t>
      </w:r>
    </w:p>
    <w:p>
      <w:r>
        <w:rPr>
          <w:b/>
        </w:rPr>
        <w:t>E. 2.1.1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rPr>
          <w:b/>
        </w:rPr>
        <w:t>E. 2.1.2</w:t>
      </w:r>
    </w:p>
    <w:p>
      <w:r>
        <w:t>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Spycher, Kindesunterhalt Rechtliche Grundlagen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FamilienrechtsTage,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w:t>
      </w:r>
    </w:p>
    <w:p>
      <w:r>
        <w:rPr>
          <w:b/>
        </w:rPr>
        <w:t>E. 2.1.3</w:t>
      </w:r>
    </w:p>
    <w:p>
      <w:r>
        <w:t>En présence de capacités financières limitées, le minimum vital du débirentier au sens du droit des poursuites doit en principe être garanti. Lorsque plusieurs enfants ont droit à une contribution d'entretien, le principe de l'égalité de traitement doit être respecté (ATF 127 III 68 précité consid. 2c, JdT 2001 I 562 consid. 2c ; TF 5A_178/2008 consid. 3.2). Le débiteur dont les ressources sont suffisantes pour assurer l'entretien de tous ses enfants ne saurait invoquer le principe de l'égalité de traitement entre enfants aux fins d'obtenir la réduction d'une contribution que ses facultés lui permettent d'acquitter; c'est l'enfant défavorisé, non partie à la procédure, qui serait alors en droit d'ouvrir action en modification en invoquant ce principe si les aliments qu'il perçoit ne devaient pas suffire à couvrir ses besoins (TF 5A_138/2010 du 8 juillet 2010, RMA 2010 p. 451).</w:t>
      </w:r>
    </w:p>
    <w:p>
      <w:r>
        <w:rPr>
          <w:b/>
        </w:rPr>
        <w:t>E. 2.2</w:t>
      </w:r>
    </w:p>
    <w:p>
      <w:r>
        <w:t>L'appelant soutient que son salaire mensuel net est de 4'550 fr. et non pas de 4'890 fr. comme retenu par le premier juge. Pour les mois de janvier à juin 2017, l'intéressé a réalisé un salaire mensuel net de 33'041 fr. 80, lequel inclut 1'500 fr. d'allocations familiales et un bonus de 4’798 fr. 70. Ainsi, son salaire mensuel net pour les premiers mois de l'année 2017 doit être arrêté à 4'857 fr., sans les allocations familiales, mais la moitié du bonus inclus, le salaire étant calculé sur la base des mois de janvier à juin 2017.</w:t>
      </w:r>
    </w:p>
    <w:p>
      <w:r>
        <w:rPr>
          <w:b/>
        </w:rPr>
        <w:t>E. 2.3.1</w:t>
      </w:r>
    </w:p>
    <w:p>
      <w:r>
        <w:t>L'appelant soutient que le montant total relatif à son droit de visite s'élève à 600 fr., et pas 150 fr., dès lors qu'il a 4 enfants dont deux vivent en France.</w:t>
      </w:r>
    </w:p>
    <w:p>
      <w:r>
        <w:rPr>
          <w:b/>
        </w:rPr>
        <w:t>E. 2.3.2</w:t>
      </w:r>
    </w:p>
    <w:p>
      <w:r>
        <w:t>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TF 5A_693/2014 du 1 er décembre 2014 consid. 3.2, FamPra.ch 2015 p. 261).</w:t>
      </w:r>
    </w:p>
    <w:p>
      <w:r>
        <w:rPr>
          <w:b/>
        </w:rPr>
        <w:t>E. 2.3.3</w:t>
      </w:r>
    </w:p>
    <w:p>
      <w:r>
        <w:t>En l'occurrence, dans le cadre de ses déterminations du 20 juillet 2017, l'appelant avait lui-même indiqué le montant de 150 fr. pour les frais occasionnés par le droit de visite. Il n'indique pas en quoi ces frais auraient augmenté depuis la date précitée. Par ailleurs, on ne sait pas si et de quelle manière il exerce son et ses droits de visite. Partant, on ne saurait admettre un montant forfaitaire supérieur à celui retenu par le premier juge.</w:t>
      </w:r>
    </w:p>
    <w:p>
      <w:r>
        <w:rPr>
          <w:b/>
        </w:rPr>
        <w:t>E. 2.4.1</w:t>
      </w:r>
    </w:p>
    <w:p>
      <w:r>
        <w:t>L'appelant affirme qu'il convient de tenir compte de ses frais de repas, dès lors qu'il n'est pas en mesure de rentrer à midi à son domicile en raison de ses différents déplacements professionnels.</w:t>
      </w:r>
    </w:p>
    <w:p>
      <w:r>
        <w:rPr>
          <w:b/>
        </w:rPr>
        <w:t>E. 2.4.2</w:t>
      </w:r>
    </w:p>
    <w:p>
      <w:r>
        <w:t>Les frais de repas pris hors domicile peuvent être pris en compte à raison de 11 fr. par jour (Lignes directrices pour le calcul du minimum vital du droit des poursuites selon l'art. 93 LP du 1er juillet 2009 ch. II). Il n'y a pas lieu de tenir compte des montants forfaitaires fiscaux (Juge délégué CACI 4 mai 2011/65).</w:t>
      </w:r>
    </w:p>
    <w:p>
      <w:r>
        <w:rPr>
          <w:b/>
        </w:rPr>
        <w:t>E. 2.4.3</w:t>
      </w:r>
    </w:p>
    <w:p>
      <w:r>
        <w:t>En l'occurrence, l'appelant invoque, pour la première fois dans le cadre de la présente procédure, avoir des frais de repas hors domicile. Par ailleurs, il ne démontre aucunement la réalité de ses nouvelles allégations.</w:t>
      </w:r>
    </w:p>
    <w:p>
      <w:r>
        <w:rPr>
          <w:b/>
        </w:rPr>
        <w:t>E. 2.5</w:t>
      </w:r>
    </w:p>
    <w:p>
      <w:r>
        <w:t>En définitive, le budget mensuel de l’intimé se présente de la manière suivante, avec la précision que seul son revenu a été modifié par rapport à l’ordonnance attaquée : + Revenu              4’857 fr. 00 - Montant de base OFF              1'200 fr. 00 - Supplément droit de visite 150 fr. 00 - Loyer              1'140 fr. 00 - Assurance-maladie obligatoire 304 fr. 75 - Frais de transport              74 fr. 00 Excédent 1'988 fr. 25 L’entretien convenable de l’enfant, qui n’est pas contesté, s’élève quant à lui à 882 fr. 25. En reprenant le raisonnement du premier juge, qui n’est pas non plus contesté, il y a lieu de diviser cet excédent par quatre par équité entre la fratrie. On parvient alors à une contribution d’entretien de 497 fr. au lieu des 505 fr. retenus par le premier juge, ce qui ne justifie pas la modification du montant fixé en première instance.</w:t>
      </w:r>
    </w:p>
    <w:p>
      <w:r>
        <w:rPr>
          <w:b/>
        </w:rPr>
        <w:t>E. 3</w:t>
      </w:r>
    </w:p>
    <w:p>
      <w:r>
        <w:t>Compte tenu de ce qui précède, l'appel doit être rejeté dans la mesure où il est recevable. La requête d'assistance judiciaire doit être rejetée, dès lors que l'appel était dépourvu de toute chance de succès (art. 117 let. b CPC). Les frais judiciaires de deuxième instance, arrêtés à 600 fr. (art. 65 al. 2 TFJC [tarif des frais judiciaires civils du 28 septembre 2010 ; RSV 270.11.51), seront mis à la charge de l'appelant, qui succombe (art. 106 al. 1 CPC). L'intimée n'ayant pas été invitée à se déterminer sur l'appel, il n'y a pas matière à l'allocation de dépens.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L.________. V. L'arrêt est exécutoire. La juge déléguée : La greffière : Du Le présent arrêt, dont la rédaction a été approuvée à huis clos, est notifié en expédition complète à : ‑ Me Jean-Christophe Oberson (pour L.________), ‑ Me Aurélien Michel (pour M.________),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