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980 vom 18. Oktober 2016</w:t>
      </w:r>
    </w:p>
    <w:p>
      <w:r>
        <w:t>VD Tribunal cantonal, 2016-10-18, FR</w:t>
      </w:r>
    </w:p>
    <w:p>
      <w:r>
        <w:rPr>
          <w:b/>
        </w:rPr>
        <w:t xml:space="preserve">Quelle: </w:t>
      </w:r>
      <w:r>
        <w:t>https://mcp.opencaselaw.ch/entscheid/vd_findinfo_HC___2016___980</w:t>
      </w:r>
    </w:p>
    <w:p>
      <w:r>
        <w:t>FR: VD_FINDINFO HC / 2016 / 980 du 18 octobre 2016</w:t>
      </w:r>
    </w:p>
    <w:p>
      <w:r>
        <w:t>IT: VD_FINDINFO HC / 2016 / 980 del 18 ottobre 2016</w:t>
      </w:r>
    </w:p>
    <w:p>
      <w:pPr>
        <w:pStyle w:val="Heading2"/>
      </w:pPr>
      <w:r>
        <w:t>Regeste</w:t>
      </w:r>
    </w:p>
    <w:p>
      <w:r>
        <w:t>ASSISTANCE JUDICIAIRE, SÛRETÉS, DROIT D'ÊTRE ENTENDU, SECOND ÉCHANGE D'ÉCRITURES, DROIT DE S'EXPLIQUER | 29 al. 2 Cst., 103 CPC (CH), 99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Bâle 2012, nn. 6 et 16 ad art. 121 CPC). Ce droit de recours doit s’exercer aux conditions de l’art. 103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(Tappy, op. cit., n. 16 ad art. 121 CPC). En l'espèce, interjeté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op. cit., n. 1 ad art. 326 CPC). En l’espèce, la recourante a produit un bordereau de onze pièces qui, dès lors qu’elles figuraient déjà au dossier de première instance, sont recevables et seront prises en considération dans la mesure de leur utilité.</w:t>
      </w:r>
    </w:p>
    <w:p>
      <w:r>
        <w:rPr>
          <w:b/>
        </w:rPr>
        <w:t>E. 3.1</w:t>
      </w:r>
    </w:p>
    <w:p>
      <w:r>
        <w:t>La recourante se prévaut d’une violation de son droit d’être entendue, sous l’angle de son droit de réplique. Elle allègue que le premier juge ne lui aurait transmis les déterminations de l’intimé quant à la requête de fournitures de sûretés que le 23 août 2016, soit un jour après que la décision sur les sûretés ait été rendue, étant précisé qu’aucune copie confraternelle n’avait été adressée à la recourante.</w:t>
      </w:r>
    </w:p>
    <w:p>
      <w:r>
        <w:rPr>
          <w:b/>
        </w:rPr>
        <w:t>E. 3.2.1</w:t>
      </w:r>
    </w:p>
    <w:p>
      <w:r>
        <w:t>supra). En outre, comme la recourante l’admet elle-même, elle a pu exposer son point de vue s’agissant de la solvabilité de l’intimé, soit dans sa requête de fourniture de sûretés du 7 juin 2016 et dans son courrier du 25 juillet 2016. Par surabondance, la violation du droit d’être entendu peut en tous les cas être guérie par la Chambre de céans au vu de son pouvoir d’examen étendu s’agissant de la vérification de la réalisation des conditions pour l’exonération de l’intimé de la fourniture de sûretés au sens de l’art. 99 al. 1 CPC. Le droit d’être entendu de la recourante n’a en définitive pas été violé (voir aussi consid. 4 infra), de sorte que ce grief doit être rejeté.</w:t>
      </w:r>
    </w:p>
    <w:p>
      <w:r>
        <w:rPr>
          <w:b/>
        </w:rPr>
        <w:t>E. 3.2.2</w:t>
      </w:r>
    </w:p>
    <w:p>
      <w:r>
        <w:t>L'art. 119 al. 3 CPC prévoit que la partie adverse doit « toujours » être entendue dans la procédure incidente lorsqu'elle requiert des sûretés en garantie des dépens (TF 4A_366/2013 du 20 décembre 2013 consid. 3 ; Bühler, in Commentaire bernois, 2012, n. 120 ad art. 119 CPC et n. 5 ad art. 121 CPC ; Rüegg, in Commentaire bâlois, 2 e éd., 2013, n. 9 ad art. 119 CPC). Cette règle s'applique, à tout le moins par analogie, également en deuxième instance (TF 4A_585/2013 du 13 mars 2014 consid. 2.1; Bühler, op. cit., n. 21 ad art. 121 CPC ; Tappy, op. cit., n. 11 ad art. 121 CPC). La seule protection pour le défendeur, dans ce cas de figure, consiste dans le contrôle que doit faire le juge – au moins prima facie – que l’action n’apparaît pas d’emblée dépourvue de chance de succès (CREC 10 août 2016/315 consid. 1.1 et réf. citée).</w:t>
      </w:r>
    </w:p>
    <w:p>
      <w:r>
        <w:rPr>
          <w:b/>
        </w:rPr>
        <w:t>E. 3.2.3</w:t>
      </w:r>
    </w:p>
    <w:p>
      <w:r>
        <w:t>S’agissant d’une garantie constitutionnelle de nature formelle, la violation du droit d’être entendu entraîne l’annulation de la décision attaquée sans égard aux chances de succès du recours sur le fond (ATF 133 I 201 consid. 2.2 ; ATF 132 V 387 consid. 5.1 et l'arrêt cité).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ATF 133 I 201 consid. 2.2).</w:t>
      </w:r>
    </w:p>
    <w:p>
      <w:r>
        <w:rPr>
          <w:b/>
        </w:rPr>
        <w:t>E. 3.3</w:t>
      </w:r>
    </w:p>
    <w:p>
      <w:r>
        <w:t>En l’espèce, comme la requête en fourniture de sûretés est régie par la procédure sommaire, le premier juge n’avait pas l’obligation de procéder à un deuxième échange d’écritures (consid.</w:t>
      </w:r>
    </w:p>
    <w:p>
      <w:r>
        <w:rPr>
          <w:b/>
        </w:rPr>
        <w:t>E. 4.1</w:t>
      </w:r>
    </w:p>
    <w:p>
      <w:r>
        <w:t>La recourante soutient que les conditions de l’octroi de l’assistance judiciaire, respectivement de l’extension requise s’agissant de l’exonération de fourniture de sûretés par l’intimé ne seraient pas réalisées, de sorte que ce dernier aurait des moyens financiers lui permettant de s’acquitter de la procédure et des sûretés en garantie des dépens demandées par la recourante.</w:t>
      </w:r>
    </w:p>
    <w:p>
      <w:r>
        <w:rPr>
          <w:b/>
        </w:rPr>
        <w:t>E. 4.2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(Tappy, CPC commenté, op. cit., n. 28 ad art. 99 CPC). L'insolvabilité au sens de l'art. 99 al. 1 let. b CPC peut avoir des causes diverses, l'énumération n'y étant pas exhaustive. Il suffit que l'insolvabilité soit vraisemblable ; la vraisemblance peut s'appuyer sur des indices (CREC 27 novembre 2015/416 consid. 4.2). Aussi, le juge ne doit pas se livrer à une analyse fiscale poussée pour examiner l'application de l'art. 99 CPC, la vraisemblance de l'insolvabilité étant suffisante (CREC 20 septembre 2016/373 consid. 3.1 et réf. citée).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si elle fait l'objet de saisies de salaire en cours (Tappy, op. cit., n. 39 ad art. 99 CPC) ou si, s'agissant des poursuites, celles-ci sont fréquentes ou importantes en comparaison avec les ressources dont dispose le débiteur (Sterchi, Berner Kommentar, 2012, n. 23 ad art. 99 CPC ; CREC 27 novembre 2015/416 consid. 4.2).</w:t>
      </w:r>
    </w:p>
    <w:p>
      <w:r>
        <w:rPr>
          <w:b/>
        </w:rPr>
        <w:t>E. 4.3.1</w:t>
      </w:r>
    </w:p>
    <w:p>
      <w:r>
        <w:t>En l’espèce, la recourante conteste l’octroi de l’assistance judiciaire, en particulier l’appréciation du premier juge sur l’indigence de l’intimé et les chances de succès de sa demande reconventionnelle. Elle relève notamment que dans son mémoire de réponse et demande reconventionnelle du 22 avril 2016, l’intimé avait allégué qu’entre le 17 décembre et le 30 décembre 2013, il avait offert à son épouse une voiture pour un montant de 57'090.66 USD ; or, selon la recourante, cela n’a pas été reporté dans la déclaration d’impôts des époux X.________ relative à l’année fiscale 2014 annexée à la demande d’assistance judiciaire du 4 février 2016. De même, dans le même mémoire, l’intimé avait allégué que le 30 décembre 2013, il avait fait don à son épouse de la somme de 115'667.40 USD, montant qui ne se retrouve pas non plus dans la déclaration d’impôts précitée. La recourante soutient avoir relevé ces incohérences tant dans sa requête du 7 juin 2016 en fourniture de sûretés que dans son courrier du 25 juillet 2016, sur lesquelles l’intimé à la requête ne se serait pas prononcé. Les montants de 57'090.66 USD et 115'667.40 USD ne figuraient effectivement pas sur la déclaration d’impôts 2014, ce que l’intimé ne conteste d’ailleurs pas comme cela ressort de sa détermination du 16 août 2016 sur cette question.</w:t>
      </w:r>
    </w:p>
    <w:p>
      <w:r>
        <w:rPr>
          <w:b/>
        </w:rPr>
        <w:t>E. 4.3.2</w:t>
      </w:r>
    </w:p>
    <w:p>
      <w:r>
        <w:t>Sous l’angle de la seule question litigieuse de l’extension de l’assistance judiciaire à la fourniture de sûretés pour les dépens (art. 99 al. 1 let. b et d CPC) et indépendamment de toute considération fiscale, le fait de ne pas retrouver des éléments de fortune potentiels dans la déclaration d’impôts de l’intimé n’est pas pertinent pour démontrer qu’il serait insolvable au sens de l’art. 99 al. 1 let. b CPC. Au contraire, si la déclaration fiscale du couple X.________ – indépendamment de leur régime matrimonial de la séparation des biens – avait retenu une fortune en leur faveur, cet élément aurait alors attesté de la vraisemblance de la solvabilité de l’intimé. Or, la recourante avait formé une demande de fourniture de sûretés pour les dépens en raison précisément de l’insolvabilité de l’intimé. Elle est dès lors incohérente (cf. CREC 18 mai 2015/182 consid. 3d) et ne peut être suivie lorsqu’elle soutient que celui-ci serait insolvable, pour obtenir de la part de l’intimé des sûretés en garantie des dépens, tout en relevant qu’il aurait dissimulé de la fortune et que l’assistance judiciaire devait lui être refusée, ce qui en définitive revient à dire qu’il serait solvable. Au surplus, la recourante n’avait pas à être entendue sur l’assistance judiciaire sollicitée par la partie adverse sous l’angle de sa solvabilité et des chances de succès de sa demande, son droit d’être entendu ne portant que sur les sûretés en garantie des dépens (consid. 1 supra).</w:t>
      </w:r>
    </w:p>
    <w:p>
      <w:r>
        <w:rPr>
          <w:b/>
        </w:rPr>
        <w:t>E. 5</w:t>
      </w:r>
    </w:p>
    <w:p>
      <w:r>
        <w:t>Il s'ensuit que le recours doit être rejeté selon le mode procédural de l'art. 322 al. 1 CPC et la décision entreprise confirmée. Les frais judiciaires de deuxième instance, arrêtés à 457 fr. 50 (art. 69 al. 3 TFJC [tarif des frais judiciaires en matière civile du 28 septembre 2010 ; RSV 270.11.5]), sont mis à la charge de la recourante qui succombe (art. 106 al. 1 CPC). Il n’y a pas lieu à l’allocation de dépens,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457 fr. 50 (quatre cent cinquante-sept francs et cinquante centimes), sont mis à la charge de la recourante Z.________. IV. L’arrêt motivé est exécutoire. Le président :               La greffière : Du L'arrêt qui précède, dont le dispositif a été communiqué par écrit aux intéressés le 19 octobre 2016, est notifié en expédition complète, par l'envoi de photocopies, à : ‑ Me Julien Perrin (pour Z.________), ‑ Me Frédéric Serra (pour X.________).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