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969 vom 7. Oktober 2016</w:t>
      </w:r>
    </w:p>
    <w:p>
      <w:r>
        <w:t>VD Tribunal cantonal, 2016-10-07, FR</w:t>
      </w:r>
    </w:p>
    <w:p>
      <w:r>
        <w:rPr>
          <w:b/>
        </w:rPr>
        <w:t xml:space="preserve">Quelle: </w:t>
      </w:r>
      <w:r>
        <w:t>https://mcp.opencaselaw.ch/entscheid/vd_findinfo_HC___2016___969</w:t>
      </w:r>
    </w:p>
    <w:p>
      <w:r>
        <w:t>FR: VD_FINDINFO HC / 2016 / 969 du 7 octobre 2016</w:t>
      </w:r>
    </w:p>
    <w:p>
      <w:r>
        <w:t>IT: VD_FINDINFO HC / 2016 / 969 del 7 ottobre 2016</w:t>
      </w:r>
    </w:p>
    <w:p>
      <w:pPr>
        <w:pStyle w:val="Heading2"/>
      </w:pPr>
      <w:r>
        <w:t>Regeste</w:t>
      </w:r>
    </w:p>
    <w:p>
      <w:r>
        <w:t>DÉBAT DU TRIBUNAL, CITATION À COMPARAÎTRE, DROIT D'OBTENIR UNE DÉCISION, MESURE PROVISIONNELLE | 29 al. 1 Cst., 319 let. c CPC (CH)</w:t>
      </w:r>
    </w:p>
    <w:p>
      <w:pPr>
        <w:pStyle w:val="Heading2"/>
      </w:pPr>
      <w:r>
        <w:t>Erwägungen</w:t>
      </w:r>
    </w:p>
    <w:p>
      <w:r>
        <w:rPr>
          <w:b/>
        </w:rPr>
        <w:t>E. 1</w:t>
      </w:r>
    </w:p>
    <w:p>
      <w:r>
        <w:t>L'art. 319 let. c CPC (Code de procédure civile suisse du 19 décembre 2008 ; RS 272) ouvre la voie du recours contre le retard injustifié du tribunal, ce recours pouvant être formé en tout temps (art. 321 al. 4 CPC). Il est de la compétence de la Chambre des recours civile (art. 73 al. 1 LOJV [loi vaudoise d'organisation judiciaire du 12 décembre 1979 ; RSV 173.01]). En l'espèce, le recours est recevable s'agissant du retard allégué à statuer.</w:t>
      </w:r>
    </w:p>
    <w:p>
      <w:r>
        <w:rPr>
          <w:b/>
        </w:rPr>
        <w:t>E. 1.3</w:t>
      </w:r>
    </w:p>
    <w:p>
      <w:r>
        <w:t>et réf. citées ; Tappy, CPC commenté, Bâle 2011,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(cf. ATF 137 III 417 consid. 1.2 et réf. citées). S'agissant de la fixation d'une audience de mesures provisionnelles, la Chambre de céans a notamment jugé que l'écoulement de huit semaines entre l'octroi de mesures superprovisionnelles et la tenue d'une telle audience était excessif, puisque la loi prévoit que le juge doit statuer « sans délai » (CREC 17 janvier 2012/9 et les réf. citées ; CREC du 17 décembre 2012/442).</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 Il, 2 e éd., Berne 2010, n. 2508, p. 452).</w:t>
      </w:r>
    </w:p>
    <w:p>
      <w:r>
        <w:rPr>
          <w:b/>
        </w:rPr>
        <w:t>E. 3.1</w:t>
      </w:r>
    </w:p>
    <w:p>
      <w:r>
        <w:t>La recourante fait valoir que sa requête déposée le 22 août 2016 présenterait un caractère d'urgence découlant des décisions qu'elle devrait prendre en matière d'organisation familiale et qu'en attendant le 14 septembre 2016 pour fixer l'audience de mesures protectrices de l'union conjugale et en la fixant au 10 novembre 2016, le premier juge tarderait à statuer sur sa requête et commettrait de ce fait un déni de justice.</w:t>
      </w:r>
    </w:p>
    <w:p>
      <w:r>
        <w:rPr>
          <w:b/>
        </w:rPr>
        <w:t>E. 3.2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 Hasenböhler/Leuenberger Hrsg, 2 e éd., 2013, n. 17 ad art. 319 CPC, p. 2345), est la même qu'aux art. 94 et 100 al. 7 LTF (loi sur le Tribunal fédéral du 17 juin 2005 ; RS 173.110) (Tappy, Les voies de droit du nouveau Code de procédure civile, JdT 2010 III 115, spéc. p. 153) qui posent comme critère le délai raisonnable au sens de l'art. 29 al. 1 Cst. (Corboz et alii, Commentaire de la LTF, 2 e éd., Berne 2014, n. 10 ad art. 94 LTF, p. 1087).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p. 1087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 Lorsque des mesures superprovisionnelles sont accordées, le juge doit statuer «sans délai » une fois la partie adverse entendue (art. 265 al. 2 CPC). Le CPC ne prévoit ni appel ni recours contre les ordonnances de mesures superprovisionnelles (art. 265 al. 1 CPC ; ATF 137 III 417 consid.</w:t>
      </w:r>
    </w:p>
    <w:p>
      <w:r>
        <w:rPr>
          <w:b/>
        </w:rPr>
        <w:t>E. 3.3</w:t>
      </w:r>
    </w:p>
    <w:p>
      <w:r>
        <w:t>La requête présentée le 22 août 2016 tend à titre superprovisonnel à la modification du droit de visite du père et à titre de mesures protectrices de l'union conjugale principalement à autoriser la requérante à déplacer la résidence habituelle de l'enfant [...], fils des parties, au Royaume Uni et subsidiairement à ordonner au SPJ le dépôt d'un rapport complémentaire. La requête de mesures superprovisionnelles a été rejetée par décision du 25 août 2016. Les conclusions de la requête ne présentent pas le même caractère d'urgence qu'une procédure de mesures protectrices de l'union conjugale ordinaire. La requérante a déjà obtenu une décision réglant les modalités de séparation des époux, sur l'attribution du domicile conjugal, les aspects financiers, la garde de l'enfant et le droit de visite, y compris une procédure d'appel qui s'est achevée le 3 août 2016. Le SPJ a également déposé un rapport d'évaluation le 18 juillet 2016, comportant un examen complet des conditions de vie de l'enfant tant auprès de son père que de sa mère. Ce rapport préconise notamment un transfert de la garde de la mère au père, dans l'hypothèse où celle-ci souhaiterait déplacer son domicile au Royaume Uni. Le rapport souligne ainsi la nécessité de maintenir un cadre de vie stable à l'enfant, dans son environnement actuel. La recourante conteste les conclusions de ce rapport et sa requête tend également à une réappréciation des preuves, par un rapport complémentaire du SPJ. Manifestement, dans un tel contexte, la procédure ne pourra pas se dérouler dans l'urgence. L'audience de mesures protectrices de l'union conjugale a aussi été fixée en considération de la présence aux débats d'un représentant du SPJ. Il apparaît en définitive que la requête du 22 août 2016 a avant tout été déposée pour contester des décisions déjà rendues et la démarche judiciaire de la recourante présente très peu de chance de succès, à tout le moins à court terme. Ainsi, les considérations du Tribunal fédéral sur l'obtention rapide d'une audience provisionnelle, puis d'une décision provisionnelle ou celle de la chambre de céans sur la nécessité de fixer une telle audience dans un délai inférieur à huit semaines ne sont pas pertinentes ici. L'examen du changement éventuel de lieu de vie de l'enfant nécessitera quoi qu'il en soit des mesures d'instructions supplémentaires et l'avancement de l'audience de la mi-novembre à la mi-octobre n'y changerait rien.</w:t>
      </w:r>
    </w:p>
    <w:p>
      <w:r>
        <w:rPr>
          <w:b/>
        </w:rPr>
        <w:t>E. 4</w:t>
      </w:r>
    </w:p>
    <w:p>
      <w:r>
        <w:t>Compte tenu de ce qui précède, le recours doit être rejeté et la décision attaquée confirmée. Les frais judiciaires de deuxième instance, arrêtés à 400 fr. (art. 73 TFJC [tarif des frais judiciaires en matière civile du 28 septembre 2010 ; RSV 270.11.5]), sont mis à la charge de la recourante qui succombe (art.106 al. 1 CPC). Il n’est pas alloué de dépens, l’intimé n’ayant pas été invité à se déterminer sur le recours.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J.________. IV. L’arrêt motivé est exécutoire. Le président :               La greffière : L'arrêt qui précède, dont le dispositif a été communiqué par écrit aux intéressés le 7 octobre 2016, est notifié en expédition complète, par l'envoi de photocopies, à : ‑ Me Emmanuel Hoffmann (pour J.________), ‑ Me Malek Adjadj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