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954 vom 2. September 2016</w:t>
      </w:r>
    </w:p>
    <w:p>
      <w:r>
        <w:t>VD Tribunal cantonal, 2016-09-02, FR</w:t>
      </w:r>
    </w:p>
    <w:p>
      <w:r>
        <w:rPr>
          <w:b/>
        </w:rPr>
        <w:t xml:space="preserve">Quelle: </w:t>
      </w:r>
      <w:r>
        <w:t>https://mcp.opencaselaw.ch/entscheid/vd_findinfo_HC___2016___954</w:t>
      </w:r>
    </w:p>
    <w:p>
      <w:r>
        <w:t>FR: VD_FINDINFO HC / 2016 / 954 du 2 septembre 2016</w:t>
      </w:r>
    </w:p>
    <w:p>
      <w:r>
        <w:t>IT: VD_FINDINFO HC / 2016 / 954 del 2 settembre 2016</w:t>
      </w:r>
    </w:p>
    <w:p>
      <w:pPr>
        <w:pStyle w:val="Heading2"/>
      </w:pPr>
      <w:r>
        <w:t>Regeste</w:t>
      </w:r>
    </w:p>
    <w:p>
      <w:r>
        <w:t>AUTORITÉ ADMINISTRATIVE, TRIBUNAL DES PRUD'HOMMES, DROIT DE LA FONCTION PUBLIQUE, DROIT DU TRAVAIL, EMPLOYÉ PUBLIC, VIOLATION D'OBLIGATIONS CONTRACTUELLES DE TRAVAIL, RÉSILIATION IMMÉDIATE, FAUTE GRAVE | 337 CO, 61 LPers-VD</w:t>
      </w:r>
    </w:p>
    <w:p>
      <w:pPr>
        <w:pStyle w:val="Heading2"/>
      </w:pPr>
      <w:r>
        <w:t>Erwägungen</w:t>
      </w:r>
    </w:p>
    <w:p>
      <w:r>
        <w:rPr>
          <w:b/>
        </w:rPr>
        <w:t>E. 1.1</w:t>
      </w:r>
    </w:p>
    <w:p>
      <w:r>
        <w:t>Le TRIPAC ayant été saisi le 18 décembre 2014, l'art. 166 al. 2 CDPJ (Code de droit privé judiciaire vaudois du 12 janvier 2010 ; RSV 211.02), qui dispose que les voies de droit de l'ancien droit sont applicables à l'encontre des jugements rendus par le TRIPAC après le 1 er janvier 2011, lorsque la cause a été introduite devant ce tribunal avant cette date, n'est pas applicable, de sorte que les voies de droit sont régies par le nouveau droit (JdT 2013 III 104 consid. 2 ; CACI 22 mars 2013/166). L'art. 308 al. 1 let. a CPC (Code de procédure civile du 19 décembre 2008 ; RS 272), applicable à titre de droit cantonal supplétif en vertu des renvois des art. 16 al. 1 LPers-VD (loi sur le personnel de l'Etat de Vaud du 12 novembre 2001 ; RSV 172.31) et 103 ss CDPJ, ouvre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w:t>
      </w:r>
    </w:p>
    <w:p>
      <w:r>
        <w:rPr>
          <w:b/>
        </w:rPr>
        <w:t>E. 1.2</w:t>
      </w:r>
    </w:p>
    <w:p>
      <w:r>
        <w:t>En l'espèce, interjeté en temps utile par une personne qui a un intérêt digne de protection (art. 59 al. 2 let. a CPC), pour un litige d'une valeur litigieuse d'au moins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consid. 2a).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w:t>
      </w:r>
    </w:p>
    <w:p>
      <w:r>
        <w:rPr>
          <w:b/>
        </w:rPr>
        <w:t>E. 3.1</w:t>
      </w:r>
    </w:p>
    <w:p>
      <w:r>
        <w:t>L’appelante fait grief aux premiers juges d’avoir procédé à une constatation incomplète des faits, dès lors qu’ils auraient omis de rappeler les bons états de service de l’appelante durant ses années d’activité et n’auraient pas pris en compte le certificat de travail intermédiaire du 31 mars 2011 et le certificat de travail final du 2 mars 2015. Compte tenu de l’issue du litige, les faits allégués par l’appelante ne sont pas déterminants pour juger la présente cause. Cela étant, pour une meilleure compréhension du litige, ces faits ont été intégrés dans la partie « en fait » (let. C) du présent arrêt.</w:t>
      </w:r>
    </w:p>
    <w:p>
      <w:r>
        <w:rPr>
          <w:b/>
        </w:rPr>
        <w:t>E. 3.2</w:t>
      </w:r>
    </w:p>
    <w:p>
      <w:r>
        <w:t>L'appelante soutient également que les premiers juges n’auraient pas pris en compte les propos du témoin Q.________ sur les rapports difficiles entre elle et son chef W.________. En l’espèce, les premiers juges n'ont pas méconnu ce témoignage et ont apprécié l'ensemble des témoignages en retenant que le conflit entre l'appelante et son chef n'avait pas été démontré, seul un épisode datant de plusieurs années avant le licenciement de l'appelante ayant été évoqué par le témoin Q.________, qui avait par ailleurs indiqué que cette affaire « s'était tassée » et les autres témoignages confirmant de manière convaincante l'absence de conflit entre l'appelante et W.________. L'appelante ne discute pas cette appréciation des preuves, de sorte qu’il n'y a pas lieu de compléter l'état de fait sur ce point.</w:t>
      </w:r>
    </w:p>
    <w:p>
      <w:r>
        <w:rPr>
          <w:b/>
        </w:rPr>
        <w:t>E. 3.3</w:t>
      </w:r>
    </w:p>
    <w:p>
      <w:r>
        <w:t>L'appelante considère que le témoignage de W.________ devrait être retranscrit dans son entier afin que l'acharnement à son égard en ressorte. Les éléments essentiels de ce témoignage ont été repris dans le jugement entrepris et l'appelante n'indique pas quels éléments pertinents auraient été omis à tort. Par ailleurs, la lecture de ce témoignage ne laisse nullement apparaître d'acharnement. En effet, le fait de vérifier, sur la base de soupçons reposant sur des éléments concrets, une éventuelle tricherie ne peut à l'évidence pas être qualifié d'acharnement. Il n'y a partant pas lieu de compléter l'état de fait sur ce point.</w:t>
      </w:r>
    </w:p>
    <w:p>
      <w:r>
        <w:rPr>
          <w:b/>
        </w:rPr>
        <w:t>E. 4.1</w:t>
      </w:r>
    </w:p>
    <w:p>
      <w:r>
        <w:t>L'appelante conteste l'existence de justes motifs. Elle reproche aux premiers juges de s'être référés à des faits antérieurs au licenciement immédiat et d'avoir retenu de manière contradictoire que ces éléments n'auraient pas permis la résiliation avec effet immédiat, car ne constituant que des soupçons, « tout en leur donnant une existence complète du fait de la découverte d'un dépassement du timbrage de 27 minutes ». Elle considère que les faits invoqués n'étaient pas suffisamment graves pour justifier une résiliation immédiate des rapports de travail, sans avertissement préalable, et conteste avoir commis une fraude au timbrage. Elle met enfin en évidence son ancienneté et ses états de service et se plaint d’être victime de la « hargne » et des « propos haineux » de son supérieur hiérarchique.</w:t>
      </w:r>
    </w:p>
    <w:p>
      <w:r>
        <w:rPr>
          <w:b/>
        </w:rPr>
        <w:t>E. 4.2</w:t>
      </w:r>
    </w:p>
    <w:p>
      <w:r>
        <w:t>Aux termes de l'art. 61 LPers,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Les art. 337b et 337c CO (Code des obligations du 30 mars 1911 ; RS 220) s’appliquent à titre de droit supplétif (al. 2). La formulation de l’art. 61 L Pers étant similaire à celle de l’art. 337 CO, la volonté du législateur de voir appliquer au personnel soumis à la LPers un système de résiliation immédiate des rapports de travail pour justes motifs identique à celui du CO a été confirmée par le Tribunal cantonal (TRIPAC TR10.025954 du 10 février 2012 consid. III. a). Les conditions d’application de l’art. 337 CO, telles que décrites dans la jurisprudence fédérale, doivent dès lors être appliquées par analogie au licenciement pour justes motifs de l’art. 61 LPers. La résiliation pour justes motifs est une mesure exceptionnelle qui doit être admise de manière restrictive et qui ne se justifie que s'il apparaît qu'un avertissement ne suffirait pas pour redresser la situation (ATF 130 III 28 consid. 4.1 et ATF 127 III 153 consid. 1b).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qui doit donc constituer une ultima ratio.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et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et CACI 8 avril 2016/227 consid. 3.3). Dans les cas de moins de gravité, c’est-à-dire si la cause ne fonde pas un licenciement immédiat, celui-ci doit être précédé d’un avertissement (ATF 130 III 213 consid. 3.1). Au surplus, l'employeur peut s'abstenir d'un avertissement lorsqu'il ressort de l'attitude de l'autre partie qu'une telle démarche serait inutile (ATF 127 III 153 consid. 1b).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et ATF 127 III 153 consid. 1c). On relèvera que le comportement des cadres doit être apprécié avec une rigueur accrue en raison du crédit particulier et de la responsabilité que leur confère leur fonction (ATF 127 III 86 consid. 2c). Une tricherie sur le timbrage constitue en principe un manquement grave au devoir de fidélité envers l'employeur (TF 4C_114/2005 du 4 août 2005 consid. 2.5 ; TF 4C.149/2002 du 12 août 2002 consid. 1.3). Cette jurisprudence n'a certes pas valeur absolue et, pour savoir si une telle tricherie justifie un licenciement immédiat sans avertissement préalable, il est essentiel d'examiner les circonstances du cas particulier (CREC I 19 mai 2010/260). Dans un arrêt du 12 août 2002 (TF 4C.149/2002 consid. 1.3), le Tribunal fédéral a considéré qu'un travailleur ayant une année d'ancienneté pouvait être licencié immédiatement et sans avertissement préalable pour tricherie sur le timbrage, dès lors qu'il occupait une position de cadre et qu'il était informé de l'importance de la sanction prévue par le règlement en cas de non-respect des consignes concernant le timbrage. Il a précisé que « la seule question pertinente est de savoir si le fait de timbrer à plusieurs reprises une pause de midi plus courte que celle effectivement prise est propre à ébranler ou à détruire la confiance existant entre les parties, de telle sorte que la poursuite des relations de travail ne puisse plus être exigée de la part du défendeur. En l'occurrence, entrent en considération la position de cadre occupée par le demandeur et le fait qu'il était informé de l'importance de la sanction prévue en cas de non-respect des consignes concernant le timbrage ». De même, dans un arrêt du 21 octobre 2004 (CREC I 21 octobre 2004/845), la Chambre des recours du Tribunal cantonal a estimé que de justes motifs de licenciement étaient réalisés à l'égard d'un travailleur qui avait omis de timbrer à plusieurs reprises durant une certaine période (en l'espèce, du printemps 2002 au 24 juillet 2003) malgré plusieurs avertissements donnés par son employeur. Elle a relevé que « le fait d'omettre de timbrer à réitérées reprises, sur une longue période, est propre à détruire la confiance existant entre les parties, de sorte que les justes motifs de congé seraient réalisés, même en l'absence de tout avertissement préalable » et qu'une telle « conclusion s'imposait d'autant plus que, dans le cas particulier, des avertissements préalables avaient été donnés au recourant ». En revanche, dans l'arrêt du 4 août 2005 précité (TF 4C.114/2005 consid. 2.5), le Tribunal fédéral a jugé qu'il n'en allait pas de même d'un chef d'équipe, qui n'avait pas la position de cadre, qui avait plus de quatre ans d'ancienneté, qui avait toujours donné entière satisfaction à l'employeur et qui avait triché une seule fois sur le timbrage, à une occasion particulière (il devait exceptionnellement partir trente minutes plus tôt pour aller arbitrer un match de football) ; dans ce cas, un avertissement préalable était nécessaire.</w:t>
      </w:r>
    </w:p>
    <w:p>
      <w:r>
        <w:rPr>
          <w:b/>
        </w:rPr>
        <w:t>E. 4.3.1</w:t>
      </w:r>
    </w:p>
    <w:p>
      <w:r>
        <w:t>L'appelante soutient que les premiers juges auraient retenu à tort que la différence de timbrage de 27 minutes constatée à une reprise prouvait l'intégralité des soupçons sur d'autres cas antérieurs. Certes, les premiers juges ont relevé que le fait que l'appelante ait été prise sur le fait le 26 novembre 2014 rendait d'autant plus probables les autres manquements suspectés. Ils ne se sont cependant pas fondés sur cette seule circonstance pour retenir une telle probabilité, mais sur les nombreux témoignages cohérents sur ce point, qui lui permettaient d'arriver à la même conclusion. Quoi qu'il en soit, comme les premiers juges l'ont eux-mêmes admis, le licenciement immédiat doit être examiné sur la base du faux timbrage du 26 novembre 2014, de la fumée dans les locaux et la publication de la vidéo sur Facebook, soit sur les motifs invoqués dans la lettre de licenciement du 5 décembre 2014.</w:t>
      </w:r>
    </w:p>
    <w:p>
      <w:r>
        <w:rPr>
          <w:b/>
        </w:rPr>
        <w:t>E. 4.3.2</w:t>
      </w:r>
    </w:p>
    <w:p>
      <w:r>
        <w:t>Les premiers juges ont retenu que l’appelante avait volontairement indiqué une entrée à effectuer dans Mobatime à 13 heures, alors qu'elle avait en réalité quitté son domicile 27 minutes plus tard et qu'il s'agissait d'une fraude au timbrage et non d'une erreur. Ils ont à cet égard relevé que ce n'était qu'en cours de procédure que l’appelante avait tenté de justifier, sans l'établir, la durée de sa préparation par le fait qu'elle aurait dû préparer des actes supplémentaires, alors qu'entendue quelques jours après le contrôle, elle s'était contentée d'indiquer qu'elle n'avait certainement pas noté correctement son heure de départ, de sorte qu'il y avait lieu de s'en tenir à ses premières déclarations. Au demeurant, seule une prise d'inventaire avait été inscrite pour la date du 26 novembre 2014. Enfin, un oubli ou une erreur apparaissait peu crédible, dès lors qu'on ne pouvait guère imaginer que, quelques heures après l'anomalie de timbrage, un employé se trompe de près d'une demi-heure dans la correction annoncée, les explications successives contradictoires de l'appelante renforçant la conviction quant au fait que l'indication erronée de l'heure était volontaire. Cette appréciation des preuves ne prête pas le flanc à la critique et peut être confirmée.</w:t>
      </w:r>
    </w:p>
    <w:p>
      <w:r>
        <w:rPr>
          <w:b/>
        </w:rPr>
        <w:t>E. 4.3.3</w:t>
      </w:r>
    </w:p>
    <w:p>
      <w:r>
        <w:t>En l'espèce, l'appelante fait valoir qu'il s'agirait d'un cas unique, d'une courte durée et dont la gravité serait très limitée. Cette opinion ne saurait être partagée. D'une part, l'appelante exerçait une fonction d'huissière-cheffe et avait des responsabilités importantes tant en matière de poursuites proprement dites qu'en terme de gestion du personnel, dans un domaine où la responsabilité de l'Etat peut être rapidement engagée en cas d'erreur ou de négligence d'un collaborateur dans l'exécution des saisies. Elle avait en effet notamment pour mission d'organiser, coordonner et contrôler l'activité des collaborateurs du secteur, d'assumer la responsabilité et le contrôle des opérations exécutées, ainsi que de veiller à la diffusion et au respect des règles, normes et directives. L'appelante avait ainsi des responsabilités importantes et une certaine marge de manœuvre lui permettant de les réaliser. D'autre part, elle savait que des fraudes au timbrage n'étaient pas tolérées au sein de l'office, et plus généralement de l'ordre judiciaire, dont elle faisait partie et était avertie des conséquences de telles fraudes. Son supérieur lui avait rappelé à plusieurs occasions l'obligation de timbrer conformément à la directive n. 10 du SG-OJV du 19 juillet 2005, notamment lors de l'entretien avec D.________, la séance du 4 juillet 2014, le courriel du 18 juillet 2014 qui exprimait clairement que certains de ses destinataires étaient visés par la remarque relative au défaut de timbrage, la séance des cadres du 5 septembre 2014 lors de laquelle l'emploi d'un formulaire idoine a été instauré ou encore la confrontation du mois d'octobre 2014 avec le préposé. Il sied de relever que le chiffre 8 de la directive susmentionnée indique que « tricher à l'horaire variable est considéré comme un manquement très grave du collaborateur à son devoir de diligence et de fidélité, justifiant un licenciement immédiat sans avertissement préalable ». Loin de reconnaître sa faute, l'appelante s'est enferrée dans des déclarations contradictoires, parlant d'une erreur de timbrage avant de tenter de justifier la durée de ses opérations de préparation. Elle n'a invoqué aucun motif permettant d'expliquer, voire de justifier, sa fraude (contrairement à la jurisprudence précitée TF 4C.114/2005 du 4 août 2005 où des circonstances particulières faisaient apparaître la tricherie occasionnelle comme de peu de gravité). Enfin, même si l'élément n'est pas décisif, cette fraude s'inscrit dans un contexte de nombreux éléments douteux constatés par les supérieurs de l'appelante. Même si le licenciement immédiat ne saurait être fondé sur ces fraudes antérieures, la confiance était d'autant plus irrémédiablement rompue dans ce contexte de soupçons qu'au premier contrôle concret de l'activité de l'appelante une fraude effective a été mise au jour. Force est dès lors de constater que l'appelante a délibérément abusé de la confiance inhérente à un système mis en place pour faciliter les missions extérieures des huissiers, confiance dont elle n'était pas digne.</w:t>
      </w:r>
    </w:p>
    <w:p>
      <w:r>
        <w:rPr>
          <w:b/>
        </w:rPr>
        <w:t>E. 4.3.4</w:t>
      </w:r>
    </w:p>
    <w:p>
      <w:r>
        <w:t>A cela s'ajoute que, si les motifs liés à la fumée dans les locaux de l’administration et à la video postée sur le réseau social ne suffisaient pas, à eux seuls, à justifier un licenciement immédiat, ils doivent être pris en compte dans l'appréciation globale de la rupture du lien de confiance des relations entre l'employeur et l'appelante. Ces évènements ne font que souligner le comportement inadéquat de l'appelante dans le cadre de ses fonctions de responsable. Les premiers juges ont relevé à cet égard que, dans la vidéo en question, l'appelante et une collègue se gaussaient d'un supérieur hiérarchique, citant son nom, et raillaient l'interdiction de fumer d'une manière telle que l'on se saurait parler d'une forme d'humour. La publication d'une telle vidéo sur un réseau social largement accessible à des tiers était gravement inadéquate, surtout s'agissant d'une collaboratrice dont les responsabilités étaient étendues. A cet égard, la réaction de l'appelante lors de l'entretien du</w:t>
      </w:r>
    </w:p>
    <w:p>
      <w:r>
        <w:rPr>
          <w:b/>
        </w:rPr>
        <w:t>E. 4.4</w:t>
      </w:r>
    </w:p>
    <w:p>
      <w:r>
        <w:t>Au vu de l'ensemble de ces circonstances, qui doivent être appréciées globalement, la continuation des rapports de travail ne pouvait être exigée de l'employeur et c'est à juste titre que les premiers juges ont retenu l'existence d'un juste motif de licenciement immédiat, même compte tenu de la durée des rapports de travail. Pour le surplus, c'est en vain que l'appelante soutient que son supérieur W.________ aurait fait preuve de hargne à son égard, hargne qui n'est pas avérée. Dès lors que les justes motifs sont établis, il ne saurait être question de violation du principe de la proportionnalité ni d'arbitraire de la décision attaquée.</w:t>
      </w:r>
    </w:p>
    <w:p>
      <w:r>
        <w:rPr>
          <w:b/>
        </w:rPr>
        <w:t>E. 5</w:t>
      </w:r>
    </w:p>
    <w:p>
      <w:r>
        <w:t>novembre 2014 a été révélatrice : elle n'a pas évoqué son prétendu retrait du réseau social mais a préféré mentionner avoir eu dix « j'aime » pour cette vidéo, avant de retirer sa déclaration. Le retrait de cette vidéo du réseau social n'aurait eu lieu que trois jours après sa publication.</w:t>
      </w:r>
    </w:p>
    <w:p>
      <w:r>
        <w:rPr>
          <w:b/>
        </w:rPr>
        <w:t>E. 5.1</w:t>
      </w:r>
    </w:p>
    <w:p>
      <w:r>
        <w:t>En conclusion, l’appel doit être rejeté selon le mode procédural de l’art. 312 al. 1 CPC et le jugement confirmé.</w:t>
      </w:r>
    </w:p>
    <w:p>
      <w:r>
        <w:rPr>
          <w:b/>
        </w:rPr>
        <w:t>E. 5.2</w:t>
      </w:r>
    </w:p>
    <w:p>
      <w:r>
        <w:t>En application de l’art. 16 al. 6 LPers, la procédure n’est pas gratuite. Les frais judiciaires de deuxième instance, arrêtés à 1’102 fr. (62 al. 1 TFJC [tarif des frais judiciaires civils du 28 septembre 2010 ; RSV 270.11.5] et art. 16 al. 7 LPers), seront mis à la charge de l’appelante, qui succombe (106 al. 1 CPC). Il n’y a pas lieu d’allouer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