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90 vom 4. Januar 2016</w:t>
      </w:r>
    </w:p>
    <w:p>
      <w:r>
        <w:t>VD Tribunal cantonal, 2016-01-04, FR</w:t>
      </w:r>
    </w:p>
    <w:p>
      <w:r>
        <w:rPr>
          <w:b/>
        </w:rPr>
        <w:t xml:space="preserve">Quelle: </w:t>
      </w:r>
      <w:r>
        <w:t>https://mcp.opencaselaw.ch/entscheid/vd_findinfo_HC___2016___90</w:t>
      </w:r>
    </w:p>
    <w:p>
      <w:r>
        <w:t>FR: VD_FINDINFO HC / 2016 / 90 du 4 janvier 2016</w:t>
      </w:r>
    </w:p>
    <w:p>
      <w:r>
        <w:t>IT: VD_FINDINFO HC / 2016 / 90 del 4 gennaio 2016</w:t>
      </w:r>
    </w:p>
    <w:p>
      <w:pPr>
        <w:pStyle w:val="Heading2"/>
      </w:pPr>
      <w:r>
        <w:t>Regeste</w:t>
      </w:r>
    </w:p>
    <w:p>
      <w:r>
        <w:t>INDEMNITÉ ÉQUITABLE, AVOCAT D'OFFICE | 122 al. 1 let. a CPC (CH)</w:t>
      </w:r>
    </w:p>
    <w:p>
      <w:pPr>
        <w:pStyle w:val="Heading2"/>
      </w:pPr>
      <w:r>
        <w:t>Erwägungen</w:t>
      </w:r>
    </w:p>
    <w:p>
      <w:r>
        <w:rPr>
          <w:b/>
        </w:rPr>
        <w:t>E. 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15 avril 2014/140 ; CREC 13 février 2013/52 ; Tappy, CPC commenté, Bâle 2011, n. 21 ad art. 122 CPC p. 503).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 Interjeté en temps utile par une personne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p. 1287).</w:t>
      </w:r>
    </w:p>
    <w:p>
      <w:r>
        <w:rPr>
          <w:b/>
        </w:rPr>
        <w:t>E. 3</w:t>
      </w:r>
    </w:p>
    <w:p>
      <w:r>
        <w:t>La recourante reproche tout d’abord au premier juge d’avoir constaté les faits de manière manifestement inexacte en retenant que certaines conversations téléphoniques tenues avec sa cliente auraient duré vingt-cinq minutes. La lecture de la liste des opérations du 20 août 2015 permet de constater que le temps consacré aux opérations y est exprimé en fractions décimales. Ainsi, 0,25 heure annoncée pour un téléphone avec la cliente représente en réalité une durée d’un quart d’heure et non comme retenu dans la décision entreprise de vingt-cinq minutes. L’état de fait est rectifié dans ce sens.</w:t>
      </w:r>
    </w:p>
    <w:p>
      <w:r>
        <w:rPr>
          <w:b/>
        </w:rPr>
        <w:t>E. 4</w:t>
      </w:r>
    </w:p>
    <w:p>
      <w:r>
        <w:t>La recourante reproche ensuite au premier juge d’avoir retranché certaines de ses activités et de celles de son collaborateur figurant sur la liste de ses opérations. Selon elle, toutes les opérations indiquées sont justifiées pour la défense des intérêts de sa cliente. Par ce moyen, la recourante se prévaut d’une violation des art. 122 al. 2 CPC et 2 al. 1 RAJ (règlement du 7 décembre 2010 sur l'assistance judiciaire en matière civile ; RSV 211.02.3).</w:t>
      </w:r>
    </w:p>
    <w:p>
      <w:r>
        <w:rPr>
          <w:b/>
        </w:rPr>
        <w:t>E. 4.1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ATF 117 la 22 précité consid.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4.2</w:t>
      </w:r>
    </w:p>
    <w:p>
      <w:r>
        <w:t>En l’espèce, et comme on l’a déjà relevé ci-dessus (cf. consid. 3), dans la mesure où le temps consacré aux téléphones n'excédait pas un quart d'heure, on ne saurait en réduire la durée. C’est en revanche à juste titre que le premier juge a supprimé le temps consacré aux opérations du dossier intitulées « suivi du dossier », qui apparaissent à douze reprises dans le relevé des opérations. Ces opérations doivent en effet être englobées dans les autres, dès lors que cent dix-huit opérations ont été facturées au total, pour une durée de mandat de quelques mois. C'est dire qu'il n'y a pas place, compte tenu de la systématique du relevé, pour une telle rubrique. Il en va de même s’agissant de la rubrique « mémos à la cliente ». En effet, compte tenu de l'évolution judiciaire du dossier, dans le cadre d'une procédure qui n'a comporté la rédaction que d'une écriture, sans participation à une audience, la rédaction de onze mémos à la cliente n'était pas nécessaire et le premier juge a refusé à juste titre de rémunérer ces opérations. Par substitution de motifs, la durée de chacun des téléphones n'étant plus réduite, il faut constater que les courriels et les téléphones à la cliente, qui concernent quarante opérations du relevé, sont excessifs dans leur nombre également. C'est donc à juste titre que le premier juge a réduit les différentes opérations, dont le nombre total dépasse largement la mesure du raisonnable. La réduction opérée représente en chiffre rond dix heures d'activité d'avocat. Compte tenu des opérations nécessaires pour parvenir à une solution transactionnelle, qui a impliqué la liquidation de la société simple formée par les parties qui ont trois enfants en commun, la réduction de dix heures apparait toutefois trop importante. Il ne faut en effet pas perdre de vue que le travail de l'avocat a permis ici d'éviter d'autres procédures judiciaires. Tout bien considéré, il faut réduire le temps des opérations et admettre vingt-six heures et trente minutes pour l’exercice du mandat. L'indemnité doit dès lors être arrêtée à 5’269 fr. 55, soit 4'770 fr. d’honoraires, des débours par 109 fr. 20, et la TVA à 8% sur le tout, par 390 fr. 35.</w:t>
      </w:r>
    </w:p>
    <w:p>
      <w:r>
        <w:rPr>
          <w:b/>
        </w:rPr>
        <w:t>E. 5</w:t>
      </w:r>
    </w:p>
    <w:p>
      <w:r>
        <w:t>janvier 2016 Le dispositif de l'arrêt qui précède est communiqué par écrit aux intéressés. La greffière : Du L'arrêt qui précède, dont la rédaction a été approuvée à huis clos, est notifié en expédition complète, par l'envoi de photocopies, à : ‑ Me V.________, - Mme J.________. La Chambre des recours civile considère que la valeur litigieuse est de 1'992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