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87 vom 22. Januar 2016</w:t>
      </w:r>
    </w:p>
    <w:p>
      <w:r>
        <w:t>VD Tribunal cantonal, 2016-01-22, FR</w:t>
      </w:r>
    </w:p>
    <w:p>
      <w:r>
        <w:rPr>
          <w:b/>
        </w:rPr>
        <w:t xml:space="preserve">Quelle: </w:t>
      </w:r>
      <w:r>
        <w:t>https://mcp.opencaselaw.ch/entscheid/vd_findinfo_HC___2016___87</w:t>
      </w:r>
    </w:p>
    <w:p>
      <w:r>
        <w:t>FR: VD_FINDINFO HC / 2016 / 87 du 22 janvier 2016</w:t>
      </w:r>
    </w:p>
    <w:p>
      <w:r>
        <w:t>IT: VD_FINDINFO HC / 2016 / 87 del 22 gennaio 2016</w:t>
      </w:r>
    </w:p>
    <w:p>
      <w:pPr>
        <w:pStyle w:val="Heading2"/>
      </w:pPr>
      <w:r>
        <w:t>Regeste</w:t>
      </w:r>
    </w:p>
    <w:p>
      <w:r>
        <w:t>BAIL À LOYER, DEMEURE, LOCATAIRE, DÉCISION D'IRRECEVABILITÉ, CAS CLAIR | 257d CO, 257 CPC (CH), 312 al. 1 CPC (CH)</w:t>
      </w:r>
    </w:p>
    <w:p>
      <w:pPr>
        <w:pStyle w:val="Heading2"/>
      </w:pPr>
      <w:r>
        <w:t>Erwägungen</w:t>
      </w:r>
    </w:p>
    <w:p>
      <w:r>
        <w:rPr>
          <w:b/>
        </w:rPr>
        <w:t>E. 1.1</w:t>
      </w:r>
    </w:p>
    <w:p>
      <w:r>
        <w:t>Le litige porte sur une décision déclarant irrecevable une requête d'expulsion en cas clair.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 loyer mensuel brut étant de 960 fr., la valeur litigieuse est dès lors supérieure à 10'000 fr. (12 x 960 fr.), de sorte que la voie de l'appel est ouverte (art. 308 al. 2 CPC).</w:t>
      </w:r>
    </w:p>
    <w:p>
      <w:r>
        <w:rPr>
          <w:b/>
        </w:rPr>
        <w:t>E. 1.2</w:t>
      </w:r>
    </w:p>
    <w:p>
      <w:r>
        <w:t>Le délai pour l'introduction de l'appel est de trente jours, sauf notamment contre les décisions prises en procédure sommaire auquel cas le délai est de dix jours (art. 321 al. 1 et 2 CPC). La décision attaquée a été rendue en application de la disposition relative aux cas clairs (art. 257 CPC), soit en procédure sommaire, de sorte que le délai d'appel n'est que de dix jours. Interjeté en temps utile, par une partie qui y a intérêt (art. 59 al. 2 let. a CPC), l'appel est recevable.</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2013, 2 e éd., n. 1 ad art. 310 CPC, qui parle de « vollkommenes Rechtsmittel »).</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en principe à l'appelant de démontrer que ces conditions sont réalisées, de sorte que l'appel doit indiquer spécialement de tels faits et preuves nouveaux et motiver spécialement les raisons qui les rendent admissibles selon lui (JdT 2011 III 43 consid. 2 et les réf. citées). Toutefois, le Tribunal fédéral exclut la production de pièces nouvelles en appel, même celles qui répondent aux exigences de l’art. 317 al. 1 CPC, en procédure pour cas clairs. Les conditions d’application de l’art. 257 al. 1 CPC doivent être réalisées en première instance déjà, de sorte que le juge d’appel n’a pas à vérifier l’appréciation du premier juge sur la base de pièces qui ne lui ont pas été soumises (TF 4A_312/2013 du 17 octobre 2013 consid. 3.2 ; 4A_420/2012 du 7 novembre 2012 consid. 5, SJ 2013 I 129). L’appelante produit une pièce nouvelle. Celle-ci est irrecevable au vu de la jurisprudence citée ci-dessus. Par surabondance, dans la mesure où cette pièce concerne les mois litigieux, elle aurait pu et dû être produite en première instance, au regard notamment des documents déposés par l’intimé devant la juge de paix, lesquels documents tendaient à démontrer que le locataire s’était acquitté des mois en question dans le délai comminatoire.</w:t>
      </w:r>
    </w:p>
    <w:p>
      <w:r>
        <w:rPr>
          <w:b/>
        </w:rPr>
        <w:t>E. 3</w:t>
      </w:r>
    </w:p>
    <w:p>
      <w:r>
        <w:t>L’appelante affirme que l’intimé aurait réglé le loyer du mois de mai 2015 dans le délai comminatoire, soit le 25 juin 2015, mais que le loyer du mois de juin 2015 aurait été payé quant à lui le 28 juillet 2015, soit 10 jours après la fin du délai comminatoire. Elle soutient que, contrairement à ce qui a été retenu par le premier juge, le paiement intervenu le 6 mai 2015 concernerait le mois d’avril.</w:t>
      </w:r>
    </w:p>
    <w:p>
      <w:r>
        <w:rPr>
          <w:b/>
        </w:rPr>
        <w:t>E. 3.1.1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TF 27 février 1997, Cahiers du bail [CdB] 3/97 pp. 65ss).</w:t>
      </w:r>
    </w:p>
    <w:p>
      <w:r>
        <w:rPr>
          <w:b/>
        </w:rPr>
        <w:t>E. 3.1.2</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4A_310/2013 du 19 novembre 2013 consid. 2 ;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141 III 23 consid. 3.2). A l'inverse, le cas clair doit être retenu lorsque sont émises des objections manifestement mal fondées ou inconsistantes sur lesquelles il peut être statué immédiatement (TF 4A_350/2014 du 16 septembre 2014 consid. 2.1 ; 4A_184/2015 du 11 août 2015 consid. 4.2.1, publié aux ATF 141 III 262). Le fait pour le défendeur d'avancer des arguments sans proposer le moindre indice à leur appui et sans mentionner les preuves des moyens qu'il invoque ne remet pas en cause le cas clair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138 III 620 consid. 5.1.2 ;  141 III 23 consid. 3.2).</w:t>
      </w:r>
    </w:p>
    <w:p>
      <w:r>
        <w:rPr>
          <w:b/>
        </w:rPr>
        <w:t>E. 3.2</w:t>
      </w:r>
    </w:p>
    <w:p>
      <w:r>
        <w:t>Dans sa requête d’expulsion, l’appelante a allégué que l’intimé avait connu, dès le mois de mai 2015, des retards dans le paiement de ses loyers ; par avis comminatoire du 10 juin 2014, il avait été mis en demeure de régler les loyers arriérés des mois de mai et juin 2015 à raison de 1'920 fr., soit 2 x 960 francs. La bailleresse prétend que le loyer du mois de mai 2015 aurait été réglé le 25 juin 2015 et celui du mois de juin 2015 le 28 juillet 2015, soit hors délai comminatoire. Le 9 novembre 2015, le locataire a adressé, au premier juge, diverses pièces et plus particulièrement des relevés bancaires dont il ressort qu’il a payé son loyer du mois de mai 2015 par un ordre du 6 mai 2015 et celui du mois de juin 2015 par un ordre du 24 juin 2015, soit dans le délai comminatoire. Ces documents n’ont pas été valablement contestés par l’appelante en première instance. Pour le reste, l’argumentation en appel de la bailleresse repose sur une pièce dont l’autorité de céans ne saurait tenir compte (cf. supra consid. 2.2). Ainsi, au regard des pièces du dossier, il n’est pas exclu que les loyers faisant l’objet de l’avis comminatoire aient été réglés en temps utile. A tout le moins faut-il considérer que le cas n’est pas clair au sens de l’art. 257 CPC.</w:t>
      </w:r>
    </w:p>
    <w:p>
      <w:r>
        <w:rPr>
          <w:b/>
        </w:rPr>
        <w:t>E. 4</w:t>
      </w:r>
    </w:p>
    <w:p>
      <w:r>
        <w:t>En définitive, l’appel doit être rejeté et la décision attaquée confirmée. Les frais judiciaires de deuxième instance, arrêtés à 100 fr. (art. 62 al. 3 et 69 TFJC [tarif des frais judiciaires civils du 28 septembre 2010 ; RSV 270.11.5]), seront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