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845 vom 8. August 2016</w:t>
      </w:r>
    </w:p>
    <w:p>
      <w:r>
        <w:t>VD Tribunal cantonal, 2016-08-08, FR</w:t>
      </w:r>
    </w:p>
    <w:p>
      <w:r>
        <w:rPr>
          <w:b/>
        </w:rPr>
        <w:t xml:space="preserve">Quelle: </w:t>
      </w:r>
      <w:r>
        <w:t>https://mcp.opencaselaw.ch/entscheid/vd_findinfo_HC___2016___845</w:t>
      </w:r>
    </w:p>
    <w:p>
      <w:r>
        <w:t>FR: VD_FINDINFO HC / 2016 / 845 du 8 août 2016</w:t>
      </w:r>
    </w:p>
    <w:p>
      <w:r>
        <w:t>IT: VD_FINDINFO HC / 2016 / 845 del 8 agosto 2016</w:t>
      </w:r>
    </w:p>
    <w:p>
      <w:pPr>
        <w:pStyle w:val="Heading2"/>
      </w:pPr>
      <w:r>
        <w:t>Regeste</w:t>
      </w:r>
    </w:p>
    <w:p>
      <w:r>
        <w:t>EXÉCUTEUR TESTAMENTAIRE, NOTAIRE | 517 CC, 15 LNo, 16 LNo, 47 LNo, 151 CPC (CH)</w:t>
      </w:r>
    </w:p>
    <w:p>
      <w:pPr>
        <w:pStyle w:val="Heading2"/>
      </w:pPr>
      <w:r>
        <w:t>Erwägungen</w:t>
      </w:r>
    </w:p>
    <w:p>
      <w:r>
        <w:rPr>
          <w:b/>
        </w:rPr>
        <w:t>E. 1.1</w:t>
      </w:r>
    </w:p>
    <w:p>
      <w:r>
        <w:t>Les tiers n’ont qualité pour recourir que si leurs intérêts juridiques sont touchés par la décision contestée (Blickenstorfer, in Schweizerische Zivilprozessordnung Kommentar [DIKE-Komm. ZPO], Zurich/St-Gall 2011, n. 86 ad Vorbem. zu den Art. 308 – 334 CPC [Code de procédure civile du 19 décembre 2008; RS 272]; Reetz, in Kommentar zur Schweizerische Zivilprozessordnung [ZPO], Zurich 2010, n. 35 ad Vorbem. zu den Art. 308-318 CPC; Jeandin, in CPC commenté, Bâle 2011, nn. 12-13 ad intro art. 308 – 334 CPC).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w:t>
      </w:r>
    </w:p>
    <w:p>
      <w:r>
        <w:rPr>
          <w:b/>
        </w:rPr>
        <w:t>E. 1.2</w:t>
      </w:r>
    </w:p>
    <w:p>
      <w:r>
        <w:t>En l’espèce, le recourant conteste le refus du premier juge de le désigner comme exécuteur testamentaire. Dans cette mesure, sa qualité pour recourir doit être admise.</w:t>
      </w:r>
    </w:p>
    <w:p>
      <w:r>
        <w:rPr>
          <w:b/>
        </w:rPr>
        <w:t>E. 2.1</w:t>
      </w:r>
    </w:p>
    <w:p>
      <w:r>
        <w:t>La procédure applicable à l’exécution testamentaire est réglée par le droit cantonal (art. 54 al. 1 et 3 Titre final CC ; Künzle, Das Erbrecht, Berner Kommentar, Berne 2011, n. 554 ad art. 517-518 CC; Christ/Eichner, in Abt/Weibel, Erbrecht, Praxiskommentar, Bâle 2011, n. 88 ad art. 518 CC; JdT 1990 III 31) et relève de la juridiction gracieuse (Künzle, loc. cit.). Le droit vaudois prévoit que l’exécuteur testamentaire est surveillé, cas échéant révoqué, par le juge de paix (art. 5 ch. 3 et 125 aI. 2 CDPJ [Code de droit privé judiciaire vaudois du 12 janvier 2010; RSV 211.002]).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cf. également CREC 23 juin 2014/218 consid. 4a ; CREC 28 février 2013/62 consid. 1a). L’application de la procédure sommaire implique que la voie de droit ouverte est celle de l’art. 109 al. 3 CDPJ, auquel les art. 319 ss CPC s’appliquent à titre supplétif (art. 104 al. 1 CDPJ). La désignation de l’exécuteur testamentaire par la délivrance de l’attestation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73 al. 1 LOJV [loi vaudoise d’organisation judiciaire du 12 décembre 1979 ; RSV 173.01]). Les conclusions, les allégations de faits et les preuves nouvelles sont irrecevables (art. 326 al. 1 CPC).</w:t>
      </w:r>
    </w:p>
    <w:p>
      <w:r>
        <w:rPr>
          <w:b/>
        </w:rPr>
        <w:t>E. 2.2</w:t>
      </w:r>
    </w:p>
    <w:p>
      <w:r>
        <w:t>En l’occurrence, le recours a été formé en temps utile, par une personne qui y a un intérêt digne de protection (art. 59 al. 2 let. a CPC), si bien qu’il est recevable. Les pièces produites à l'appui du recours qui figurent déjà dans le dossier de la procédure de première instance sont recevables. En revanche, la lettre du Conseil d’Etat du 9 septembre 2015 intitulée « Renonciation à votre patente professionnelle et désignation de votre successeur » constitue une pièce nouvelle et s'avère donc irrecevable. Cela étant, selon l'art. 151 CPC, les faits notoires ou notoirement connus du tribunal et les règles d'expérience généralement reconnues ne doivent pas être prouvés. Or, l’art. 38 LNo prévoit la publication dans la feuille des Avis officiels notamment de la renonciation à la patente et la ratification de la désignation d'un notaire successeur. A cet égard, la FAO numéros 76-77 des 22 et 25 septembre 2015 comporte en page 11 l'avis suivant : « Le Département des institutions et de la sécurité : a pris acte de la renonciation de Me H.________, notaire à [...], à sa patente de notaire avec effet au 31 décembre 2015 ; a ratifié la désignation de Me X.________, notaire à [...], en qualité de notaire successeur de Me H.________ ». Au vu de leur notoriété découlant de leur publication officielle, ces deux faits sont intégrés au présent arrêt.</w:t>
      </w:r>
    </w:p>
    <w:p>
      <w:r>
        <w:rPr>
          <w:b/>
        </w:rPr>
        <w:t>E. 3</w:t>
      </w:r>
    </w:p>
    <w:p>
      <w:r>
        <w:t>Le recourant soutient qu’il aurait dû être désigné comme exécuteur testamentaire, car une telle désignation correspondrait à la volonté du défunt, selon une interprétation conforme aux principes applicables en matière testamentaire.</w:t>
      </w:r>
    </w:p>
    <w:p>
      <w:r>
        <w:rPr>
          <w:b/>
        </w:rPr>
        <w:t>E. 3.1.1</w:t>
      </w:r>
    </w:p>
    <w:p>
      <w:r>
        <w:t>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(ATF 120 II 182 consid. 2a ; ATF 103 II 88 consid. 3a ; ATF 100 II 440 consid. 6 et les arrêts cités); il peut également se référer à l'expérience générale de la vie et au principe du favor testamenti , selon lequel, entre deux solutions possibles, il faut choisir la plus favorable au maintien de l'acte (ATF 124 III 414 consid 3 et les références). Le juge doit toutefois toujours rechercher la volonté réelle du disposant ; une interprétation fondée sur le principe de la confiance, selon le sens compris de bonne foi par le destinataire de la déclaration de volonté, est exclue (ATF 131 III 106 consid. 1.1 et les références; ATF 120 II 182 consid. 2a). Dès lors que la désignation du notaire successeur résulte d'une décision officielle, ce qui est le cas dans le canton de Vaud (cf. art. 37 al. 2 LNo et 20 al. 4 RLNo [règlement d’application de la loi du 29 juin 2004 sur le notariat du 16 décembre 2004 ; RSV 178.11.1], selon lesquels le Département des institutions et de la sécurité [auparavant le Département des institutions et des relations extérieures] ratifie la désignation du notaire successeur), partant que la personne du successeur est déterminable, la validité de la clause peut en principe être admise (cf. Michel Mooser, La désignation des personnes dans les dispositions pour cause de mort, in Journée de droit successoral 2015, p. 143; Bernard Abrecht, Problèmes liés à la désignation d'un exécuteur testamentaire de substitution, successio 2008 pp. 184 ss, qui souligne que l'exécuteur de substitution doit pouvoir être identifié sans équivoque ; Paul-Henri Steinauer, Le droit des successions, 2 e éd. 2015, no 1165a, qui admet la validité de la clause désignant "le notaire X ou son successeur").</w:t>
      </w:r>
    </w:p>
    <w:p>
      <w:r>
        <w:rPr>
          <w:b/>
        </w:rPr>
        <w:t>E. 3.1.2</w:t>
      </w:r>
    </w:p>
    <w:p>
      <w:r>
        <w:t>La loi sur le notariat distingue, d’une part, les activités ministérielles du notaire (art. 3 LNo) consistant en l'instrumentation des actes authentiques et autres actes notariés décrits à l'article 47 LNo, ainsi qu'en la réception en dépôt de tous actes et documents originaux, et, d’autre part, les activités professionnelles licites (art. 4 LNo) consistant, hors ministère, notamment à dresser des actes sous seing privé, à liquider des biens sociaux, successoraux ou matrimoniaux, à gérer et à administrer des biens mobiliers et immobiliers ou encore à faire, dans les limites toutefois d'un mandat particulier, toute démarche pour l'achat ou la vente d'un bien mobilier ou immobilier. L'exercice du notariat dans le canton est subordonné à la délivrance d'une patente émanant du Conseil d'Etat et cette patente confère à son porteur le titre de notaire (art. 15 LNo). Si celui qui est au bénéfice d'une patente vaudoise en vigueur au sens de la loi peut seul se prévaloir du titre de notaire, le titre de notaire honoraire peut être conféré par le Conseil d'Etat aux notaires qui ont renoncé à leur patente après vingt-cinq ans d'activité (art. 16 LNo). Il en découle qu’un notaire honoraire est légitimé à porter le titre de notaire et à exercer les activités professionnelles licites, qui englobent les mandats d’exécuteurs testamentaires.</w:t>
      </w:r>
    </w:p>
    <w:p>
      <w:r>
        <w:rPr>
          <w:b/>
        </w:rPr>
        <w:t>E. 3.2</w:t>
      </w:r>
    </w:p>
    <w:p>
      <w:r>
        <w:t>En l’occurrence, se pose la question de savoir si le défunt a désigné comme exécuteur testamentaire un notaire en exercice, pourvu de sa patente et apte à exercer des activités ministérielles, ou s’il a désigné plus largement un notaire, le cas échéant honoraire, ayant la pratique des activités professionnelles licites. Dans la présente cause, du vivant du de cujus , présumé en avoir été informé par la publication officielle effectuée en septembre 2015, le recourant a renoncé à sa patente avec effet au 31 décembre 2015 et a été désigné comme notaire honoraire. En ne réagissant pas à cette annonce, le défunt aurait ainsi "confirmé" tacitement la désignation ad personam du recourant comme exécuteur testamentaire. Par ailleurs, aucun héritier ne s’est opposé à la reconnaissance du recourant comme exécuteur testamentaire, Me X.________ ayant quant à lui déclaré adhérer aux conclusions de ce dernier. De plus, le recourant soutient que le défunt aurait eu des liens particuliers avec lui, en ce sens que le défunt avait été l'héritier unique d'une tante dont le recourant avait instrumenté le testament et exécuté la succession ; enfin, le recourant avait été recommandé au défunt par l'ancien directeur du CHUV, ces liens particuliers étant censés justifier la désignation de l'exécuteur testamentaire indépendamment de sa qualité de notaire. Ces derniers faits ayant déjà été présentés dans une lettre au premier juge du 27 juin 2016 ne sont pas nouveaux, si bien que la Chambre de céans peut en tenir compte. S'ils ne sont pas prouvés par titres, ils émanent d'un ancien officier ministériel et, par analogie avec le mode preuve de l'art. 191 CPC, on peut les retenir comme établis. Cependant ces liens ne sont précisément pas caractérisés comme particuliers puisqu'il s'agit de contacts professionnels distendus. La situation du cas d’espèce n’est pas comparable à celle jugée par le Tribunal fédéral dans son arrêt du 24 novembre 2015 (5A_644/2015), auquel se réfère le premier juge tant dans son courrier du 1 er juin 2016 que dans la décision attaquée ; dans cette affaire, le notaire avait renoncé à sa patente avec effet immédiat, apparemment sans successeur et sans que le titre de notaire honoraire lui soit attribué, alors qu’un héritier du testateur défunt s’était opposé à la reconnaissance de cet ancien notaire comme exécuteur testamentaire. En définitive, la clause désignant comme exécuteur testamentaire le « notaire H.________, à [...], à défaut son successeur » se rapporte tant au recourant exerçant comme notaire patenté qu'au notaire honoraire. Cette interprétation s'avère conforme au principe du favor testamenti . En effet, l'exécuteur testamentaire est désigné dans l'acte par son prénom, son nom, son adresse professionnelle et son titre, l'expression « à défaut » son successeur ne visant pas uniquement la perte du titre professionnel, mais plus globalement la défaillance de la personne préalablement définie, même si le remplaçant est déterminé quant à lui uniquement par sa fonction de notaire successeur. Par conséquent, contrairement à ce qu’a retenu le premier juge, le notaire honoraire H.________ peut être désigné exécuteur testamentaire sur la base de la clause litigieuse.</w:t>
      </w:r>
    </w:p>
    <w:p>
      <w:r>
        <w:rPr>
          <w:b/>
        </w:rPr>
        <w:t>E. 4</w:t>
      </w:r>
    </w:p>
    <w:p>
      <w:r>
        <w:t>Au vu de ce qui précède, le recours doit être admis et la décision réformée en ce sens qu’une attestation d’exécuteur testamentaire est délivrée au notaire honoraire H.________. Les frais judiciaires de deuxième instance, arrêtés à 1'000 fr. (art. 74 al. 1 TFJC [tarif des frais judiciaires civils du 28 septembre 2010; RSV 270.11.5]), seront laissés à la charge de l’Etat (art. 107 al. 2 CPC), l’avance de frais de 1'000 fr. effectuée par le recourant lui étant restituée. Il n’y a pas lieu à l’allocation de dépens. Par ces motifs, la Chambre des recours civile du Tribunal cantonal, prononce : I. Le recours est admis. II. La décision est réformée en ce sens qu’une attestation d’exécuteur testamentaire est délivrée au notaire honoraire André Corbaz. III. Les frais de deuxième instance, arrêtés à 1'000 fr. (mille francs) sont mis à la charge de l’Etat. IV. L’arrêt motivé est exécutoire. Le président :               La greffière : Du</w:t>
      </w:r>
    </w:p>
    <w:p>
      <w:r>
        <w:rPr>
          <w:b/>
        </w:rPr>
        <w:t>E. 9</w:t>
      </w:r>
    </w:p>
    <w:p>
      <w:r>
        <w:t>août 2016 Le dispositif de l'arrêt qui précède est communiqué par écrit aux intéressés. La greffière : Du L'arrêt qui précède, dont la rédaction a été approuvée à huis clos, est notifié en expédition complète, par l'envoi de photocopies, à : ‑ Me H.________, notaire honoraire, ‑ Me X.________, notaire, ‑ Mme G.________, ‑ M.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