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809 vom 5. Juli 2016</w:t>
      </w:r>
    </w:p>
    <w:p>
      <w:r>
        <w:t>VD Tribunal cantonal, 2016-07-05, FR</w:t>
      </w:r>
    </w:p>
    <w:p>
      <w:r>
        <w:rPr>
          <w:b/>
        </w:rPr>
        <w:t xml:space="preserve">Quelle: </w:t>
      </w:r>
      <w:r>
        <w:t>https://mcp.opencaselaw.ch/entscheid/vd_findinfo_HC___2016___809</w:t>
      </w:r>
    </w:p>
    <w:p>
      <w:r>
        <w:t>FR: VD_FINDINFO HC / 2016 / 809 du 5 juillet 2016</w:t>
      </w:r>
    </w:p>
    <w:p>
      <w:r>
        <w:t>IT: VD_FINDINFO HC / 2016 / 809 del 5 luglio 2016</w:t>
      </w:r>
    </w:p>
    <w:p>
      <w:pPr>
        <w:pStyle w:val="Heading2"/>
      </w:pPr>
      <w:r>
        <w:t>Regeste</w:t>
      </w:r>
    </w:p>
    <w:p>
      <w:r>
        <w:t>MANIFESTATION DE VOLONTÉ, INTERPRÉTATION{SENS GÉNÉRAL}, CONTRAT DE SOUS-TRAITANCE, CONTRAT D'ENTREPRISE GÉNÉRALE, IMMEUBLE, TRAVAUX DE CONSTRUCTION | 18 al. 1 CO</w:t>
      </w:r>
    </w:p>
    <w:p>
      <w:pPr>
        <w:pStyle w:val="Heading2"/>
      </w:pPr>
      <w:r>
        <w:t>Erwägungen</w:t>
      </w:r>
    </w:p>
    <w:p>
      <w:r>
        <w:rPr>
          <w:b/>
        </w:rPr>
        <w:t>E. 1.1</w:t>
      </w:r>
    </w:p>
    <w:p>
      <w:r>
        <w:t>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Une décision est finale au sens de l'art. 236 CPC si elle met fin au procès soit en tranchant le fond, soit en raison d'un motif de procédure. Contrairement à la LTF (loi du 17 juin 2005 sur le Tribunal fédéral ; RS 173.110), le CPC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Selon la doctrine, même si elle n'est pas mentionnée à l'art. 308 al. 1 CPC, la décision partielle, prise à des fins de « simplification du procès » au sens de l'art. 125 CPC – qui permet de limiter la procédure à des questions ou des conclusions déterminées (art. 125 let. a CPC) – est attaquable immédiatement, sous peine de péremption du droit d'appel ou de recours, au même titre qu'une décision finale ( CACI 18 mars 2016/167 ; CACI 28 janvier 2013/59).</w:t>
      </w:r>
    </w:p>
    <w:p>
      <w:r>
        <w:rPr>
          <w:b/>
        </w:rPr>
        <w:t>E. 1.2</w:t>
      </w:r>
    </w:p>
    <w:p>
      <w:r>
        <w:t>Selon l'art. 83 al. 1 CPC, lorsque l'objet litigieux est aliéné en cours d'instance, l'acquéreur peut reprendre le procès en lieu et place de la partie qui se retire. La partie qui se substitue répond de l'ensemble des frais et la partie qui se retire du procès répond solidairement des frais encourus jusqu'à la substitution (art. 83 al. 2 CPC).</w:t>
      </w:r>
    </w:p>
    <w:p>
      <w:r>
        <w:rPr>
          <w:b/>
        </w:rPr>
        <w:t>E. 1.3</w:t>
      </w:r>
    </w:p>
    <w:p>
      <w:r>
        <w:t>En l'espèce, le jugement entrepris, rendu dans le cadre de la demande en paiement déposée le 5 avril 2012 par B.________Sàrl, tranche la question de la légitimation active de la demanderesse, en sa qualité de sous-traitante de l'entreprise générale R.________SA, ainsi que de la légitimation passive des époux Conti. Il s'agit dès lors d'une décision partielle, attaquable directement par la voie de l'appel. Au reste, déposé en temps utile, l'appel est formellement recevable. Il a en outre été interjeté par une partie justifiant d'un intérêt, à l'endroit d'A.________, lequel s'est substitué à B.________Sàrl (art. 83 al. 1 CPC) et a par conséquent la qualité pour défendre dans le cadre du présent appel.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w:t>
      </w:r>
    </w:p>
    <w:p>
      <w:r>
        <w:rPr>
          <w:b/>
        </w:rPr>
        <w:t>E. 3.1</w:t>
      </w:r>
    </w:p>
    <w:p>
      <w:r>
        <w:t>L'appelant conteste que son épouse ou lui-même aient pu être liés par une quelconque relation juridique avec B.________Sàrl, qui aurait agi en qualité de sous-traitante de l'entreprise générale R.________SA. Se fondant en particulier sur un arrêt rendu par le Tribunal fédéral (TF 4A_698/2012 du 1 er mai 2013), il soutient qu'il n'existerait pas entre les parties de manifestations de volonté réciproques et concordantes portant sur la livraison et le montage de quatorze cabines de douche réalisées sur mesure, pour une plus-value de 14'000 francs.</w:t>
      </w:r>
    </w:p>
    <w:p>
      <w:r>
        <w:rPr>
          <w:b/>
        </w:rPr>
        <w:t>E. 3.2.1</w:t>
      </w:r>
    </w:p>
    <w:p>
      <w:r>
        <w:t>La conclusion du contrat obéit aux règles générales : ainsi, aux termes de l'art. 1 al. 1 CO, un contrat est parfait lorsque les parties ont, réciproquement et d'une manière concordante, manifesté leur volonté (cf. ATF 127 III 248 consid. 3d). La conclusion du contrat n'est soumise à aucune forme particulière (art. 11 CO) et peut en particulier se faire par actes concluants. L'accord doit porter non seulement sur les prestations mais aussi sur le fait de les soumettre à un régime contractuel. Enfin, l'objet du contrat doit viser une activité possible, licite et conforme aux mœurs. Celui qui accepte l'offre de conclure un contrat doit manifester sa volonté expressément ou tacitement. Le contrat se forme généralement par l'offre et l'acceptation. L'offre est une proposition ferme de conclure un contrat. L'offre doit être adressée à autrui, exprimer une volonté juridique de conclure un contrat et contenir tous les éléments essentiels du contrat proposé. La forme doit revêtir celle qui est prévue pour le contrat. L'acceptation est la réponse affirmative à une offre. C'est la manifestation de volonté de conclure un contrat conforme à l'offre. L'auteur est lié par sa déclaration selon le sens que le destinataire peut et doit lui attribuer de bonne foi. On se place au point de vue du destinataire qui doit se comporter en homme diligent, raisonnable et honnête. En se plaçant du point de vue du destinataire, l'art. 1 CO signifie que le contrat vient à chef par la concordance des manifestations de volonté. On se place du point de vue du destinataire pour appréhender le sens objectif et usuel des termes, selon le contexte aussi de la connaissance personnelle des faits et des circonstances à la portée du précité. Enfin, pour qu'un contrat se forme, il faut que les parties s'accordent sur les points essentiels. Les points essentiels sont les clauses indispensables à l'existence du contrat, tant les points subjectivement qu'objectivement essentiels (Engel, Traité des obligations en droit suisse, 2 e éd., 1997, p. 192 ss).</w:t>
      </w:r>
    </w:p>
    <w:p>
      <w:r>
        <w:rPr>
          <w:b/>
        </w:rPr>
        <w:t>E. 3.2.2</w:t>
      </w:r>
    </w:p>
    <w:p>
      <w:r>
        <w:t>Le contrat de sous-traitance désigne, en pratique, le contrat d'entreprise par lequel une partie (le sous-traitant) s'engage à l'égard d'une autre (l'entrepreneur principal) à effectuer tout ou partie de la prestation de l'ouvrage que celui-ci s'est engagé à réaliser pour un maître d'ouvrage (le maître principal) (Tercier/Favre, Les contrats spéciaux, 2009, p. 644, n. 4290). En vertu du principe de la relativité des conventions, le contrat conclu entre le maître principal et l'entrepreneur principal constitue, pour le sous-traitant, une res inter alios acta , dont il ne peut tirer un quelconque droit. Aucun fondement juridique ne permet au sous-traitant de s'approprier le bénéfice réalisé par l'entrepreneur principal (TF 4A_698/2012 du 1 er mai 2013 consid. 2.4). Cependant, dans ce domaine où règne la liberté contractuelle, il est loisible aux parties d'aménager différemment leurs rapports. Elles peuvent notamment prévoir une clause indépendante de garantie du sous-traitant envers le maître, une cession de créance entre le maître et l'entrepreneur ou une stipulation pour autrui en faveur du maître ou du sous-traitant (Chaix/Marchand, Le droit direct du maître d'ouvrage contre le sous-traitant, DC [Droit de la construction] 1997 pp. 76-79 ; Gauch/Carron, Le contrat d'entreprise, 1999, p. 51, nn. 164-167 ; Tercier/Favre, op. cit., p. 646, n. 4304 ; Zindel/Pulver/Schott, Basler Kommentar, 2015, n. 32 ad art. 363 CO).</w:t>
      </w:r>
    </w:p>
    <w:p>
      <w:r>
        <w:rPr>
          <w:b/>
        </w:rPr>
        <w:t>E. 3.2.3</w:t>
      </w:r>
    </w:p>
    <w:p>
      <w:r>
        <w:t>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 I, 2003, nn. 15, 25 et 32-34 ad art. 18 CO ; Kramer/Schmidlin, Berner Kommentar, 1986, nn. 22 ss ad art. 18 CO). Cette interprétation subjective repose sur l'appréciation des preuves (TF 4A_65/2012 du 21 mai 2012 consid 10.2 ; ATF 132 III 626 consid. 3.1 ; ATF 131 III 606 consid. 4.1).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 sur le tout : TF 4A_65/2012 du 21 mai 2012 consid. 10.2).</w:t>
      </w:r>
    </w:p>
    <w:p>
      <w:r>
        <w:rPr>
          <w:b/>
        </w:rPr>
        <w:t>E. 3.3.1</w:t>
      </w:r>
    </w:p>
    <w:p>
      <w:r>
        <w:t>En l'espèce, au vu des considérations juridiques qui précèdent, on doit admettre que le maître de l'ouvrage et le sous-traitant sont susceptibles d'aménager librement leurs rapports contractuels, sans être limités par une forme juridique déterminée (cf. consid. 3.2.2 supra ). A cet égard, on constate que, ensuite de la résiliation du contrat d'entreprise générale entre les époux C.L.________ et R.________SA – laquelle a informé ses sous-traitants qu'il leur était loisible de terminer les travaux convenus, ceux-ci étant alors payés par les époux Conti directement –, l'appelant et son épouse, par courrier du 8 mars 2011 à R.________SA, ont exprimé le souhait de voir les sous-traitants déjà payés terminer leurs travaux, malgré la résiliation du contrat qui les liait à leur entrepreneur général. Ils ont par ailleurs, dans ce même courrier, manifesté leur volonté de traiter dorénavant directement avec les entreprises qui avaient déjà été actives sur le chantier. Cette déclaration a amené B.________Sàrl à s'adresser à l'appelant en date du</w:t>
      </w:r>
    </w:p>
    <w:p>
      <w:r>
        <w:rPr>
          <w:b/>
        </w:rPr>
        <w:t>E. 3.3.2</w:t>
      </w:r>
    </w:p>
    <w:p>
      <w:r>
        <w:t>L'appelant ne saurait au demeurant rien déduire en sa faveur de l'acompte de 284'453 fr. 60 que lui a demandé R.________SA à la suite de l'envoi d'un décompte provisoire daté du 13 décembre 2010 et qu'il a payé à cette dernière le 16 janvier 2011. En effet, même si le décompte provisoire, non signé, du 13 décembre 2010 fait état d'un montant de 14'000 fr. pour ce qui est, sans autre précision, des « appareils sanitaires », on ne peut pas pour autant retenir que l'acompte de 284'453 fr. 60 incluait le montant de 14'000 fr. correspondant à la plus-value litigieuse. Il s'ensuit que ce document ne revêt pas une force probante suffisante permettant d'exclure l'existence d'une relation contractuelle entre B.________Sàrl et l'appelant. Par ailleurs, la facture adressée le 29 avril 2011 à l'appelant par B.________Sàrl mentionnait expressément la déduction d'un montant de 2'700 fr., hors TVA, qui correspondait, selon B.________Sàrl, aux six cabines de douche standards initialement prévues et qui avait été payé par R.________SA. Cette précision aurait dû permettre à l'appelant de réagir immédiatement s'il voulait revenir sur son accord du 4 avril 2011.</w:t>
      </w:r>
    </w:p>
    <w:p>
      <w:r>
        <w:rPr>
          <w:b/>
        </w:rPr>
        <w:t>E. 3.3.3</w:t>
      </w:r>
    </w:p>
    <w:p>
      <w:r>
        <w:t>Dans son courriel du 4 avril 2011, B.________Sàrl s'est certes prévalu d'un écrit portant la « signature [de l'appelant] du 2 mars 2011 », sans qu'elle ait été en mesure de produire un tel document. Il n'en demeure pas moins qu'à travers les courriels qu'il a adressés par la suite à B.________Sàrl, et notamment celui du 21 août 2011, l'appelant a maintenu son accord en connaissance de cause, en particulier quant à l'éventualité d'un paiement à double. L'appelant ne saurait dès lors se prévaloir du fait que B.________Sàrl l'aurait induit en erreur en affirmant qu'il avait signé le 2 mars 2011 un document selon lequel il serait encore redevable d'un montant de 14'000 fr., document que l'appelant dit avoir vainement cherché. Ce seul aspect ne suffit pas à ébranler la conviction de la Cour de céans quant à l'accord intervenu, ce d'autant qu'il aurait suffi à l'appelant de contrôler l'existence d'un document signé le 2 mars 2011 à réception du courriel du 4 avril 2011 ou à tout le moins à réception de la facture du 29 avril 2011. On ne voit à cet égard pas pourquoi l'appelant a maintenu, dans son courriel du 21 août 2011, sa proposition de paiement d'un montant de 14'000 fr., alors qu'il affirmait pourtant ne pas avoir conclu d'accord portant sur ce montant. On constate ainsi que les courriels adressés par l'appelant à B.________Sàrl entre le</w:t>
      </w:r>
    </w:p>
    <w:p>
      <w:r>
        <w:rPr>
          <w:b/>
        </w:rPr>
        <w:t>E. 4</w:t>
      </w:r>
    </w:p>
    <w:p>
      <w:r>
        <w:t>Il résulte de ce qui précède que l’appel doit être rejeté, selon le mode procédural de l’art. 312 al. 1 CPC, et le jugement confirmé. Les frais judiciaires de deuxième instance, arrêtés à 881 fr. (art. 62 al. 1 TFJC [tarif des frais judiciaires civils du 28 septembre 2010, RSV 270.11.5]), seront mis à la charge de l’appelant, qui succombe (art. 106 al. 1 CPC). Il n’y a pas matière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