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802 vom 30. August 2016</w:t>
      </w:r>
    </w:p>
    <w:p>
      <w:r>
        <w:t>VD Tribunal cantonal, 2016-08-30, FR</w:t>
      </w:r>
    </w:p>
    <w:p>
      <w:r>
        <w:rPr>
          <w:b/>
        </w:rPr>
        <w:t xml:space="preserve">Quelle: </w:t>
      </w:r>
      <w:r>
        <w:t>https://mcp.opencaselaw.ch/entscheid/vd_findinfo_HC___2016___802</w:t>
      </w:r>
    </w:p>
    <w:p>
      <w:r>
        <w:t>FR: VD_FINDINFO HC / 2016 / 802 du 30 août 2016</w:t>
      </w:r>
    </w:p>
    <w:p>
      <w:r>
        <w:t>IT: VD_FINDINFO HC / 2016 / 802 del 30 agosto 2016</w:t>
      </w:r>
    </w:p>
    <w:p>
      <w:pPr>
        <w:pStyle w:val="Heading2"/>
      </w:pPr>
      <w:r>
        <w:t>Regeste</w:t>
      </w:r>
    </w:p>
    <w:p>
      <w:r>
        <w:t>EXÉCUTEUR TESTAMENTAIRE, NOTAIRE, FAVOR TESTAMENTI | 37 LNo</w:t>
      </w:r>
    </w:p>
    <w:p>
      <w:pPr>
        <w:pStyle w:val="Heading2"/>
      </w:pPr>
      <w:r>
        <w:t>Erwägungen</w:t>
      </w:r>
    </w:p>
    <w:p>
      <w:r>
        <w:rPr>
          <w:b/>
        </w:rPr>
        <w:t>E. 1.1</w:t>
      </w:r>
    </w:p>
    <w:p>
      <w:r>
        <w:t>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w:t>
      </w:r>
    </w:p>
    <w:p>
      <w:r>
        <w:rPr>
          <w:b/>
        </w:rPr>
        <w:t>E. 1.2</w:t>
      </w:r>
    </w:p>
    <w:p>
      <w:r>
        <w:t>En l’espèce, le recourant conteste le refus du premier juge de le désigner comme exécuteur testamentaire. Dans cette mesure, sa qualité pour recourir doit être admise.</w:t>
      </w:r>
    </w:p>
    <w:p>
      <w:r>
        <w:rPr>
          <w:b/>
        </w:rPr>
        <w:t>E. 2.1</w:t>
      </w:r>
    </w:p>
    <w:p>
      <w:r>
        <w:t>La procédure applicable à l’exécution testamentaire est réglée par le droit cantonal (art. 54 al. 1 et 3 Titre final CC ; Künzle, Das Erbrecht, Berner Kommentar, Berne 2011, n. 554 ad art. 517-518CC; Christ/Eichner, in Abt/Weibel, Erbrecht, Praxiskommentar, Bâle 2011, n. 88 ad art. 518 CC; JdT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 Les conclusions, les allégations de faits et les preuves nouvelles sont irrecevables (art. 326 al. 1 CPC).</w:t>
      </w:r>
    </w:p>
    <w:p>
      <w:r>
        <w:rPr>
          <w:b/>
        </w:rPr>
        <w:t>E. 2.2</w:t>
      </w:r>
    </w:p>
    <w:p>
      <w:r>
        <w:t>En l’occurrence, le recours a été formé en temps utile, par une personne qui y a un intérêt digne de protection (art. 59 al. 2 let. a CPC), si bien qu’il est recevable. Les pièces produites à l’appui du recours figurent déjà dans le dossier de première instance, de sorte qu’elles sont recevables.</w:t>
      </w:r>
    </w:p>
    <w:p>
      <w:r>
        <w:rPr>
          <w:b/>
        </w:rPr>
        <w:t>E. 3.1</w:t>
      </w:r>
    </w:p>
    <w:p>
      <w:r>
        <w:t>Le recourant soutient qu’il aurait dû être désigné comme exécuteur testamentaire, car une telle désignation correspond à la volonté de la défunte, selon une interprétation conforme aux principes applicables en matière testamentaire.</w:t>
      </w:r>
    </w:p>
    <w:p>
      <w:r>
        <w:rPr>
          <w:b/>
        </w:rPr>
        <w:t>E. 3.2.1</w:t>
      </w:r>
    </w:p>
    <w:p>
      <w:r>
        <w:t>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p. 184; ATF 103 II 88 consid. 3a p. 92; ATF 100 II 440 consid.</w:t>
      </w:r>
    </w:p>
    <w:p>
      <w:r>
        <w:rPr>
          <w:b/>
        </w:rPr>
        <w:t>E. 3.2.2</w:t>
      </w:r>
    </w:p>
    <w:p>
      <w:r>
        <w:t>La loi sur le notariat distingue, d’une part, les activités ministérielles du notaire (art. 3 LNo) consistant en l'instrumentation des actes authentiques et autres actes notariés décrits à l'article 47,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w:t>
      </w:r>
    </w:p>
    <w:p>
      <w:r>
        <w:rPr>
          <w:b/>
        </w:rPr>
        <w:t>E. 3.3.1</w:t>
      </w:r>
    </w:p>
    <w:p>
      <w:r>
        <w:t>En l’occurrence, se pose la question de savoir si la défunte a désigné comme exécuteur testamentaire un notaire en exercice, pourvu de sa patente et apte à exercer des activités ministérielles, ou si elle a désigné plus largement un notaire, le cas échéant honoraire, ayant la pratique des activités professionnelles licites. L.________ a, par courrier du 8 janvier 2008, informé sa clientèle, dont R.________, qu’il allait se concentrer désormais, en tant que notaire honoraire, à des activités non ministérielles, dont fait partie la mission d’exécuteur testamentaire. R.________, décédée huit ans plus tard, a gardé contact avec le notaire L.________ au sujet de ses dispositions pour cause de mort. Par ailleurs, aucun héritier ne s’est opposé à la reconnaissance de L.________ comme exécuteur testamentaire, Me [...] ayant quant à elle déclaré adhérer aux conclusions du recourant. La situation du cas d’espèce n’est donc pas comparable à celle jugée par le Tribunal fédéral dans son arrêt du 24 novembre 2015 (5A_644/2015), auquel se réfère le premier juge tant dans son courrier du 3 juin 2016 que dans la décision attaquée ; dans cette affaire, le notaire avait renoncé à sa patente avec effet immédiat, apparemment sans successeur et sans que le titre de notaire honoraire lui soit attribué, et un héritier du testateur défunt s’était opposé à la reconnaissance de cet ancien notaire comme exécuteur testamentaire. Si l’on peut admettre, compte tenu des circonstances du cas d’espèce, l’existence d’un lien de confiance entre le notaire L.________ et la défunte, un doute subsiste quant à savoir si ce lien était suffisamment caractérisé pour justifier la désignation de l’exécuteur testamentaire indépendamment de sa qualité de notaire. Cette question peut toutefois demeurer ouverte, le recours devant de toute manière être admis pour les raisons qui suivent.</w:t>
      </w:r>
    </w:p>
    <w:p>
      <w:r>
        <w:rPr>
          <w:b/>
        </w:rPr>
        <w:t>E. 3.3.2</w:t>
      </w:r>
    </w:p>
    <w:p>
      <w:r>
        <w:t>Le raisonnement du Tribunal fédéral (TF 5A_644/2015 du 24 novembre 2015 consid. 3.3.3) selon lequel le choix du notaire successeur comme exécuteur testamentaire de remplacement n'a de sens que si le premier exécuteur testamentaire est désigné par sa fonction ne prend pas en considération la fonction de notaire honoraire et l’hypothèse où le remplaçant en cas d’inaptitude de ce dernier serait le notaire successeur. Or, en l’espèce, la clause désignant «  Me L.________, notaire à Lausanne, à défaut son successeur, en qualité d’exécuteur testamentaire » se rapporte tant au notaire L.________ exerçant comme notaire patenté qu’en qualité de notaire honoraire. Cette interprétation s’avère conforme au principe du favor testamenti . En effet, l’exécuteur testamentaire est désigné dans l’acte par son prénom, son nom, son adresse professionnelle et son titre, l’expression « à défaut son successeur » ne visant pas uniquement la perte du titre professionnel, mais plus globalement la défaillance de la personne préalablement définie, même si le remplaçant est déterminé quant à lui uniquement par sa fonction de notaire successeur. Par conséquent, contrairement à ce qu’a retenu le premier juge, le notaire honoraire L.________ peut être désigné exécuteur testamentaire sur la base de la clause litigieuse. 4. Au vu de ce qui précède, le recours doit être admis et la décision réformée en ce sens qu’une attestation d’exécuteur testamentaire est délivrée au notaire honoraire L.________. Les frais judiciaires de deuxième instance, arrêtés à 600 fr. (art. 74 al. 1 TFJC [tarif des frais judiciaires civils du 28 septembre 2010; RSV 270.11.5]), seront laissés à la charge de l’Etat (art. 107 al. 2 CPC), l’avance de frais de 600 fr. effectuée par le recourant lui étant restituée. Il n’y a pas lieu à l’allocation de dépens. Par ces motifs, la Chambre des recours civile du Tribunal cantonal prononce : I. Le recours est admis. II. La décision est réformée en ce sens qu’une attestation d’exécuteur testamentaire est délivrée au notaire honoraire L.________. III. Les frais de deuxième instance, arrêtés à 600 fr. (six cents francs), sont laissés à la charge de l’Etat. IV. L’arrêt motivé est exécutoire. Le président :               Le greffier : Du 31 août 2016 Le dispositif de l'arrêt qui précède est communiqué par écrit aux intéressés. Le greffier : Du L'arrêt qui précède, dont la rédaction a été approuvée à huis clos, est notifié en expédition complète, par l'envoi de photocopies, à : ‑ Me François Logoz (pour L.________), ‑ Me [...], ‑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6</w:t>
      </w:r>
    </w:p>
    <w:p>
      <w:r>
        <w:t>p. 446 et les arrêts cités); il peut également se référer à l'expérience générale de la vie et au principe du favor testamenti , selon lequel, entre deux solutions possibles, il faut choisir la plus favorable au maintien de l'acte (ATF 124 III 414 consid 3 p. 416 s. et les références). Le juge doit toutefois toujours rechercher la volonté réelle du disposant; une interprétation fondée sur le principe de la confiance, selon le sens compris de bonne foi par le destinataire de la déclaration de volonté, est exclue (ATF 131 III 106 consid. 1.1 p. 108 et les références; ATF 120 I1182 consid. 2a p. 184). Dès lors que la désignation du notaire successeur résulte d'une décision officielle, ce qui est le cas dans le canton de Vaud (cf. art. 37 al. 2 LNo et 20 al. 4 RLNo [règlement d’application de la loi du 29 juin 2004 sur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pp. 184 ss, qui souligne que l'exécuteur de substitution doit pouvoir être identifié sans équivoque; Paul-Henri Steinauer, Le droit des successions, 2 e éd. 2015, no 1165a, qui admet la validité de la clause désignant "le notaire X ou son successeur"). Cela étant, le choix du notaire successeur comme exécuteur testamentaire de remplacement n'a de sens que si le premier exécuteur testamentaire est désigné par sa fonction (cf. dans ce sens, Lise Favre, in L'exécution testamentaire, Conférence de l'Institut de consultation notariale du 24 septembre 1998, p. 2, qui indique qu'un exécuteur testamentaire de remplacement "peut être le successeur de l'exécuteur testamentaire désigné par sa fonction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