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 vom 11. Dezember 2015</w:t>
      </w:r>
    </w:p>
    <w:p>
      <w:r>
        <w:t>VD Tribunal cantonal, 2015-12-11, FR</w:t>
      </w:r>
    </w:p>
    <w:p>
      <w:r>
        <w:rPr>
          <w:b/>
        </w:rPr>
        <w:t xml:space="preserve">Quelle: </w:t>
      </w:r>
      <w:r>
        <w:t>https://mcp.opencaselaw.ch/entscheid/vd_findinfo_HC___2016___8</w:t>
      </w:r>
    </w:p>
    <w:p>
      <w:r>
        <w:t>FR: VD_FINDINFO HC / 2016 / 8 du 11 décembre 2015</w:t>
      </w:r>
    </w:p>
    <w:p>
      <w:r>
        <w:t>IT: VD_FINDINFO HC / 2016 / 8 del 11 dicembre 2015</w:t>
      </w:r>
    </w:p>
    <w:p>
      <w:pPr>
        <w:pStyle w:val="Heading2"/>
      </w:pPr>
      <w:r>
        <w:t>Regeste</w:t>
      </w:r>
    </w:p>
    <w:p>
      <w:r>
        <w:t>EXPULSION DE LOCATAIRE, LOCAL PROFESSIONNEL, CAS CLAIR | 257d CO</w:t>
      </w:r>
    </w:p>
    <w:p>
      <w:pPr>
        <w:pStyle w:val="Heading2"/>
      </w:pPr>
      <w:r>
        <w:t>Erwägungen</w:t>
      </w:r>
    </w:p>
    <w:p>
      <w:r>
        <w:rPr>
          <w:b/>
        </w:rPr>
        <w:t>E. 1</w:t>
      </w:r>
    </w:p>
    <w:p>
      <w:r>
        <w:t>a) Le litige porte sur le bien-fondé d'une ordonnance d'expulsion rendue pour défaut de paiement de loyers (art. 257d CO [Code des obligations du 30 mars 1911 ; RS 220]). Pour déterminer quelle voie de droit, de l'appel ou du recours, est ouverte, il faut se fonder sur la valeur litigieuse, calculée selon le droit fédéral. Selon la jurisprudence du Tribunal fédéral, la valeur litigieuse correspond au dommage prévisible causé par le retard dans la restitution de l'objet loué au cas où les conditions de l'expulsion prononcée selon la procédure en cas clair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b) En l’espèce, le loyer mensuel net du local commercial s'élève à 2'300 fr., plus 110 fr. d'acompte de charges, de sorte que, calculée selon les principes énoncés ci-dessus, la valeur litigieuse est supérieure à 10'000 francs. La voie de l'appel est ainsi ouverte. L’ordonnance ayant été rendue en procédure sommaire, le délai d’appel est de dix jours à compter de la notification de la décision motivée (art. 314 al. 1 CPC). Formé en temps utile par une partie qui a un intérêt digne de protection (art. 59 al.</w:t>
      </w:r>
    </w:p>
    <w:p>
      <w:r>
        <w:rPr>
          <w:b/>
        </w:rPr>
        <w:t>E. 2</w:t>
      </w:r>
    </w:p>
    <w:p>
      <w:r>
        <w:t>et les réf.).</w:t>
      </w:r>
    </w:p>
    <w:p>
      <w:r>
        <w:rPr>
          <w:b/>
        </w:rPr>
        <w:t>E. 3</w:t>
      </w:r>
    </w:p>
    <w:p>
      <w:r>
        <w:t>a) L'appelant conteste la décision d'expulsion de son local commercial en faisant valoir qu'il est locataire depuis 1985, qu'il a effectivement payé avec retard et qu'il reste un solde à payer, mais qu'il le paiera.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consid.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p. 68 ; TF 4C_74/2006 du 12 mai 2006 c. 3.2.1 ; TF 4A_252/2014 du 28 mai 2014 consid. 4.2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Cette jurisprudence garde sa pertinence sous l'empire du CPC (CACI 27 mars 2014/160 et références). c) En l'espèce, l'appelant ne conteste pas que les conditions posées par l'art. 257d CO soient réalisées, à savoir qu'il n'avait pas entièrement payé le montant de 6'556 fr. 10 – correspondant au solde du loyer de mai 2015, aux loyers de juin et juillet 2015 et au supplément à sa charge résultant du décompte de chauffage au 1 er juillet 2014 – à l'échéance du délai comminatoire de trente jours fixé par lettre recommandée du 8 juillet 2015, reçue le 9 juillet 2015. Cela étant, c'est à bon droit que, par courrier du 11 août 2015, le bailleur a résilié le bail à loyer avec effet au 30 septembre 2015 et que le premier juge a constaté la validité du congé et ordonné les mesures d'exécution sollicitées (art. 236 al. 3 et 337 CPC).</w:t>
      </w:r>
    </w:p>
    <w:p>
      <w:r>
        <w:rPr>
          <w:b/>
        </w:rPr>
        <w:t>E. 4</w:t>
      </w:r>
    </w:p>
    <w:p>
      <w:r>
        <w:t>Il s'ensuit que l'appel, manifestement infondé, doit être rejeté selon le mode procédural de l'art. 312 al. 1 CPC et l'ordonnance entreprise confirmée. Le délai de libération des locaux étant échu du fait de l'effet suspensif accordé à l'appel, il convient de renvoyer la cause au premier juge pour qu'il fixe à l'appelant un nouveau délai pour libérer les locaux litigieux. Les frais judicaires de deuxième instance, arrêtés à 400 fr. (art. 62 al. 3 et 69 al. 1 TFJC [tarif des frais judiciaires en matière civile du 28 septembre 2010 ; RSV 270.11.5]), seront mis à la charge de l'appelant, qui succombe (art. 106 al. 1 CPC). Il n'y a pas lieu à l'allocation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