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794 vom 23. August 2016</w:t>
      </w:r>
    </w:p>
    <w:p>
      <w:r>
        <w:t>VD Tribunal cantonal, 2016-08-23, FR</w:t>
      </w:r>
    </w:p>
    <w:p>
      <w:r>
        <w:rPr>
          <w:b/>
        </w:rPr>
        <w:t xml:space="preserve">Quelle: </w:t>
      </w:r>
      <w:r>
        <w:t>https://mcp.opencaselaw.ch/entscheid/vd_findinfo_HC___2016___794</w:t>
      </w:r>
    </w:p>
    <w:p>
      <w:r>
        <w:t>FR: VD_FINDINFO HC / 2016 / 794 du 23 août 2016</w:t>
      </w:r>
    </w:p>
    <w:p>
      <w:r>
        <w:t>IT: VD_FINDINFO HC / 2016 / 794 del 23 agosto 2016</w:t>
      </w:r>
    </w:p>
    <w:p>
      <w:pPr>
        <w:pStyle w:val="Heading2"/>
      </w:pPr>
      <w:r>
        <w:t>Regeste</w:t>
      </w:r>
    </w:p>
    <w:p>
      <w:r>
        <w:t>CERTIFICAT D'HÉRITIER, SUBSTITUTION FIDÉICOMMISSAIRE, INVENTAIRE, LÉGITIMATION ACTIVE ET PASSIVE | 490 CC, 29 al. 2 Cst., 53 CPC (CH)</w:t>
      </w:r>
    </w:p>
    <w:p>
      <w:pPr>
        <w:pStyle w:val="Heading2"/>
      </w:pPr>
      <w:r>
        <w:t>Erwägungen</w:t>
      </w:r>
    </w:p>
    <w:p>
      <w:r>
        <w:rPr>
          <w:b/>
        </w:rPr>
        <w:t>E. 1.1</w:t>
      </w:r>
    </w:p>
    <w:p>
      <w:r>
        <w:t>Les décisions relatives au certificat d'héritiers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d'héritiers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d'héritiers (art. 109 al. 3 CDPJ ; CREC 1 er septembre 2014/302 ; CREC 9 mai 2014/203 ; CREC 17 avril 2014/143).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n. 2508).</w:t>
      </w:r>
    </w:p>
    <w:p>
      <w:r>
        <w:rPr>
          <w:b/>
        </w:rPr>
        <w:t>E. 1.2</w:t>
      </w:r>
    </w:p>
    <w:p>
      <w:r>
        <w:t>Le recours, écrit et motivé, doit s'exercer dans les dix jours à compter de la notification de la décision motivée (art. 321 al. 1 et 2 CPC), auprès de la Chambre des recours civile (art. 73 al. 1 LOJV [loi vaudoise du 12 septembre 1979 d'organisation judiciaire ; RSV 173.01]). L'existence d'un intérêt du recourant (art. 59 al. 2 let. a CPC) est une condition de recevabilité de tout recours, cet intérêt devant être juridique et non uniquement de fait (ATF 127 III 429 consid. 1b ; ATF 120 II 5 consid. 2a ; ATF 118 II 108 consid. 2c ; JdT 2001 III 13 consid. 1d).</w:t>
      </w:r>
    </w:p>
    <w:p>
      <w:r>
        <w:rPr>
          <w:b/>
        </w:rPr>
        <w:t>E. 1.3</w:t>
      </w:r>
    </w:p>
    <w:p>
      <w:r>
        <w:t>En l'espèce, le recours a été déposé en temps utile. En sa qualité d’héritière, la recourante a un intérêt juridique manifeste à recourir contre la décision qui refuse les mesures de sûreté qu’elle requiert. Le recours est donc recevable.</w:t>
      </w:r>
    </w:p>
    <w:p>
      <w:r>
        <w:rPr>
          <w:b/>
        </w:rPr>
        <w:t>E. 2.1</w:t>
      </w:r>
    </w:p>
    <w:p>
      <w:r>
        <w:t>La recourante invoque une violation de son droit d'être entendue. Le premier juge aurait rendu sa décision sans avoir reçu les déterminations de la recourante, alors que les autres parties s'étaient prononcées, et ce tandis que l'arrêt de la Chambre des recours civile du 18 juin 2015 (CREC 18 juin 2015/226) lui enjoignait de réexaminer, suite à l'annulation de la décision, la question de la délivrance d'une attestation d'exécuteur testamentaire. La recourante relève qu’elle n’aurait dès lors pas eu la possibilité de faire valoir ses arguments, ni de prendre position sur les déterminations formulées par ses parties adverses.</w:t>
      </w:r>
    </w:p>
    <w:p>
      <w:r>
        <w:rPr>
          <w:b/>
        </w:rPr>
        <w:t>E. 2.2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ATF 135 II 286 consid. 5.1). S’agissant d’une garantie constitutionnelle de nature formelle, sa violation entraîne l’annulation de la décision attaquée sans égard aux chances de succès du recours sur le fond (ATF 133 I 201 consid. 2.2 ; ATF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Il doit également être renoncé à l’annulation de la décision et au renvoi de la cause à l’autorité précédente, lorsque le renvoi conduirait à une formalité vide de contenu et, ainsi, à un prolongement inutile de la procédure en contradiction avec l’intérêt des parties à un règlement rapide du litige (TF 5D_8/2016 du</w:t>
      </w:r>
    </w:p>
    <w:p>
      <w:r>
        <w:rPr>
          <w:b/>
        </w:rPr>
        <w:t>E. 2.3</w:t>
      </w:r>
    </w:p>
    <w:p>
      <w:r>
        <w:t>En l’occurrence, la recourante se borne à soutenir de manière péremptoire que, la cognition de la Chambre des recours civile étant limitée à l’arbitraire en ce qui concerne les faits, la violation de son droit d’être entendu ne pourrait être réparée en procédure de recours, de sorte que celui-ci devrait être admis pour ce seul motif. Or, elle n’expose pas dans son mémoire de recours quels arguments elle entendait faire valoir, respectivement sur quels éléments de fait elle désirait se déterminer. A défaut de motivation à cet égard, force est de considérer que l’annulation de la décision et le renvoi de la cause pour permettre à la recourante d’user de son droit d’être entendu conduirait à une formalité vide de contenu qui prolongerait inutilement la procédure, d’autant que celle-ci est sommaire. La recourante ne démontre du reste pas que l’usage de son droit d’être entendu aurait eu une influence sur la décision. Infondé, ce moyen doit être rejeté.</w:t>
      </w:r>
    </w:p>
    <w:p>
      <w:r>
        <w:rPr>
          <w:b/>
        </w:rPr>
        <w:t>E. 3</w:t>
      </w:r>
    </w:p>
    <w:p>
      <w:r>
        <w:t>juin 2016 consid. 2.3 ; CREC 9 février 2016/48 consid. 3.2.1 ; CREC 18 août 2015/300 consid. 3.2.1).</w:t>
      </w:r>
    </w:p>
    <w:p>
      <w:r>
        <w:rPr>
          <w:b/>
        </w:rPr>
        <w:t>E. 3.1</w:t>
      </w:r>
    </w:p>
    <w:p>
      <w:r>
        <w:t>La recourante se prévaut de l'existence d'une substitution fidéicommissaire en sa faveur et évoque également le fait que l'attribution successorale formulée en faveur d'A.T.________ pourrait être constitutive d'usufruit. Elle soutient qu'il y a matière à ordonner des mesures conservatoires, notamment l'inventaire de l'art. 490 CC, dont la tenue s'imposerait à l'autorité dans l'hypothèse d'une substitution fidéicommissaire.</w:t>
      </w:r>
    </w:p>
    <w:p>
      <w:r>
        <w:rPr>
          <w:b/>
        </w:rPr>
        <w:t>E. 3.2.1</w:t>
      </w:r>
    </w:p>
    <w:p>
      <w:r>
        <w:t>Le Tribunal fédéral a expressément soulevé la question de la légitimation active de la recourante dans un obiter dictum de l'arrêt du 4 avril 2016 rendu dans la présente cause, qualifiant la légitimation active de la recourante de douteuse (TF 5A_716/2015 du 4 avril 2016 consid. 1.5). Il ressort de la jurisprudence du Tribunal fédéral (TF 5A_713/2011 du 2 février 2012 consid. 4. 2 et les réf. citées), ainsi que de la doctrine (Steinauer, Le droit des successions, 2 e éd., Bâle 2015, nn. 547 ss, pp. 303 ss), que la substitution fidéicommissaire institue deux successeurs successifs, en faveur de deux héritiers ou de deux légataires successifs. Le second, communément désigné comme étant l'appelé – par opposition au premier désigné comme étant le grevé –, ne devient l'héritier du défunt qu'à l'ouverture de la substitution. Tandis que le grevé succède directement au disposant, l'appelé est pour une partie de la doctrine (notamment Steinauer, op. cit., n. 551, p. 305 et les réf. citées sous note infrapaginale n° 9) un héritier du testateur sous condition suspensive, respectivement est au bénéfice d'une simple expectative selon d'autres auteurs ; pour d'autres encore, l’appelé n’est titulaire que d'un droit relatif à l'encontre du grevé, tendant à la délivrance de la succession ou de la part de la succession grevée de substitution (Weimar, in Berner Kommentar, Bd III, 2009, Art. 457-516 ZGB, p. 429, nn. 4-5 ad Art. 492 ZGB et les réf. citées). Quelle que soit la nature exacte de la prétention de l'appelé, le Tribunal fédéral a jugé que l'appelé n'a aucun droit dans la succession avant le terme fixé par le testateur pour l'ouverture de la succession. Il ne dispose que d'une expectative successorale et de prérogatives relatives à l'octroi de mesures de sûretés. En particulier, il n'est pas fondé à saisir l'autorité de surveillance de l'exécuteur testamentaire (TF 5A_713/2011 précité consid. 4.2, 4.3 et les réf. cit. ; Steinauer, op. cit., n. 570, p. 314). Ainsi, l'héritier grevé héritier acquiert de plein droit la pleine propriété des biens à l'ouverture de la succession du défunt, sauf répudiation valablement exercée et sous condition résolutoire, compte tenu de la charge de restitution qui est la sienne (art. 491 al. 2 CC ; cf. Steinauer, op. cit., nn. 559 s., pp. 308-309). L'héritier appelé ne dispose quant à lui pas des droits dont jouissent les héritiers aussi longtemps que la condition suspensive de l'avènement de la substitution n'est pas réalisée. Il jouit uniquement d'une expectative – respectivement d'un droit relatif selon certains auteurs – qu'il peut protéger par quatre moyens (Steinauer, op. cit., nn. 570 ss, pp. 314 ss) : par l'inventaire aux fins de sûretés de l'art. 490 CC, par la remise de sûretés réelles ou personnelles suffisantes, sauf en cas de dispense expresse du défunt (art. 490 al. 2 1 ère phr. CC), par l'annotation au registre foncier d'une restriction au droit d'aliéner les immeubles (art. 490 al. 2, 2 e phr. et art. 960 al. 1 ch. 3 CC) ou par l'administration d'office de la succession lorsque le grevé ne veut ou ne peut constituer des sûretés suffisantes, ou lorsque postérieurement à la constitution des sûretés, le grevé compromet l'expectative de l'appelé (art. 490 al. 3 et 554 CC).</w:t>
      </w:r>
    </w:p>
    <w:p>
      <w:r>
        <w:rPr>
          <w:b/>
        </w:rPr>
        <w:t>E. 3.2.2</w:t>
      </w:r>
    </w:p>
    <w:p>
      <w:r>
        <w:t>L'inventaire prévu à l'art. 490 al. 1 CC est de droit impératif et doit être ordonné dans tous les cas de substitution, même limitée au surplus de la succession après que le grevé en a bénéficié et même en cas d'entente entre le grevé et l'appelé sur une dispense. Il s'agit de l'inventaire aux fins de sûreté de l'art. 553 CC, lequel devrait comprendre une estimation de la valeur des biens et porter sur l'ensemble des biens couverts par la substitution (Steinauer, op. cit., n. 571-571a, p. 315 et les réf. citées). De même, les sûretés prévues à l'art. 490 al. 2 CC devraient intervenir en tous les cas de substitution, même en l'absence d'une mise en danger concrète du patrimoine successoral, sauf en cas de dispense expresse du défunt. Elles conditionnent en principe la délivrance de la succession au grevé (Steinauer, op. cit., n. 572, p. 316 ; Weimar, op. cit., n. 8 ad art. 490 CC, p. 407). En présence d'immeubles, le grevé a le choix entre la prestation de sûretés conventionnelles (réelles ou personnelles) au sens de l'al. 2, ou l'annotation de l'obligation de restitution au Registre foncier, prévue à l'al. 3. L'appelé ne peut pas exiger cette annotation – à l’exception, selon Bessenich, du cas où le de cujus l'aurait expressément stipulé (Bessenich, Basler Kommentar, Zivilgesetzbuch Il, 5 e éd., 2015, n. 4 ad art. 490 CC et les réf. citées) –, dont la réquisition doit être faite par le grevé (Steinauer, op. cit., n. 573a, p. 317). Lorsqu'aucune forme de sûretés n'est fournie, l'administration d'office de la succession doit être ordonnée en application de l'art. 490 al. 3 CC. Il en va de même lorsque les sûretés fournies s'avèrent ultérieurement insuffisantes et qu'elles ne sont pas complétées, ou encore en présence d'une mise en danger concrète du patrimoine successoral, en principe à la requête de l'appelé (Steinauer, op. cit., n. 574-575, p. 317 ; plus nuancé sur la nécessité d'une requête de l'appelé : Bessenich, op. cit., n. 5 ad art. 491 CC et les réf. citées). Dans tous les cas, les sûretés servent à garantir la mise en oeuvre d'une prétention en dommages-intérêts de l'appelé à l'encontre du grevé lorsque le second a porté atteinte au patrimoine successoral, prétention qui ne naît cependant qu'à l'ouverture de la substitution de l'un à l'autre (Weimar, op. cit., n. 9 ad art. 490 CC, ainsi que n. 13 ad art. 491 CC). Contrairement à l'inventaire visé à l'art. 490 al. 1 CC, les appelés peuvent renoncer aux sûretés (Weimar, ibidem ; Bessenich, op. cit., n. 3 ad art. 490 CC et les réf. cit.). La dispense est même présumée en cas de substitution limitée au surplus (Weimar, ibidem ; Bessenich, ibidem).</w:t>
      </w:r>
    </w:p>
    <w:p>
      <w:r>
        <w:rPr>
          <w:b/>
        </w:rPr>
        <w:t>E. 3.3</w:t>
      </w:r>
    </w:p>
    <w:p>
      <w:r>
        <w:t>En l’espèce, le certificat d’héritier ne mentionne que l’héritière instituée, soit l’intimée A.T.________, et les immeubles compris dans la succession ont d’ores et déjà été inscrits au Registre foncier comme étant la propriété individuelle de cette dernière. La recourante n’allègue pas avoir ouvert au fond une quelconque action judiciaire dans le cadre de laquelle elle aurait contesté la teneur des dispositions de dernières volontés ou fait reconnaître son interprétation de celles-ci. En l’état, il n’est ainsi pas établi qu’elle jouisse d’une expectative successorale fondée sur une substitution fidéicommissaire et la juridiction gracieuse n’a pas vocation à statuer sur cette question, ce que la Chambre des recours civile avait déjà relevé dans son arrêt du 18 juin 2015, en précisant qu’il n’appartenait pas au juge de la procédure de dévolution de statuer sur l’interprétation de la clause testamentaire litigieuse (CREC 18 juin 2015/226 consid. 3c). Il est dès lors erroné de dire, comme semble le faire la recourante, que la Chambre des recours civile a procédé à une interprétation matérielle de la clause contenue par le testament du 10 août 2011. La qualité pour requérir les mesures prévues à l’art. 490 CC doit par conséquent être déniée à la recourante, ce qui conduit au rejet du recours.</w:t>
      </w:r>
    </w:p>
    <w:p>
      <w:r>
        <w:rPr>
          <w:b/>
        </w:rPr>
        <w:t>E. 4</w:t>
      </w:r>
    </w:p>
    <w:p>
      <w:r>
        <w:t>En définitive, le recours doit être rejeté et la décision entreprise confirmée. Le dispositif ne faisant pas mention de ce dernier point, il y a lieu de le rectifier d’office (art. 334 al. 1 CPC). Les frais judiciaires de deuxième instance, arrêtés à 800 fr. (art. 74 al. 1 TFJC [Tarif des frais judiciaires civils du 28 septembre 2010 ; RSV 270.11.5]), seront mis à la charge de la recourante F.________, qui succombe (art. 106 al. 1 CPC). La recourante F.________ versera à chacun des intimés H.________ et A.T.________ la somme de 900 fr. à titre de dépens de deuxième instance (art. 3 al. 3 TDC [Tarif des dépens en matière civile du 23 novembre 2010 ; RSV 270.11.6]). N’ayant pas procédé, l’intimé B.T.________ n’a en revanche pas droit à des dépens. Par ces motifs, la Chambre des recours civile du Tribunal cantonal, prononce : I. Le recours est rejeté. II. La décision est confirmée. III. Les frais judiciaires de deuxième instance, arrêtés à 800 fr. (huit cents francs), sont mis à la charge de la recourante F.________. IV. La recourante F.________ versera la somme de 900 fr. (neuf cents francs) à titre de dépens de deuxième instance à chacun des intimés A.T.________ et H.________. V. L’arrêt motivé est exécutoire. Le président :               Le greffier : Du 25 août 2016 Le dispositif de l'arrêt qui précède est communiqué par écrit aux intéressés. Le greffier : Du L'arrêt qui précède, dont la rédaction a été approuvée à huis clos, est notifié en expédition complète, par l'envoi de photocopies, à : ‑ Me Elie Elkaim (pour F.________), ‑ Me Christophe Misteli (pour A.T.________), - Me Albert J. Graf (pour H.________), - M. B.T.________.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