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760 vom 12. August 2016</w:t>
      </w:r>
    </w:p>
    <w:p>
      <w:r>
        <w:t>VD Tribunal cantonal, 2016-08-12, FR</w:t>
      </w:r>
    </w:p>
    <w:p>
      <w:r>
        <w:rPr>
          <w:b/>
        </w:rPr>
        <w:t xml:space="preserve">Quelle: </w:t>
      </w:r>
      <w:r>
        <w:t>https://mcp.opencaselaw.ch/entscheid/vd_findinfo_HC___2016___760</w:t>
      </w:r>
    </w:p>
    <w:p>
      <w:r>
        <w:t>FR: VD_FINDINFO HC / 2016 / 760 du 12 août 2016</w:t>
      </w:r>
    </w:p>
    <w:p>
      <w:r>
        <w:t>IT: VD_FINDINFO HC / 2016 / 760 del 12 agosto 2016</w:t>
      </w:r>
    </w:p>
    <w:p>
      <w:pPr>
        <w:pStyle w:val="Heading2"/>
      </w:pPr>
      <w:r>
        <w:t>Regeste</w:t>
      </w:r>
    </w:p>
    <w:p>
      <w:r>
        <w:t>DÉCISION DE RENVOI, MODIFICATION DES CIRCONSTANCES, NOUVEAU MOYEN DE FAIT | 107 al. 2 LTF, 318 al. 1 let. c CPC (CH)</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RS 173.110 ;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2</w:t>
      </w:r>
    </w:p>
    <w:p>
      <w:r>
        <w:t>L’art. 107 al. 2 LTF permet au Tribunal fédéral, en cas d’admission du recours, de renvoyer l’affaire à l’autorité précédente pour qu’elle prenne une nouvelle décision. En l’occurrence, le Tribunal fédéral a annulé l’arrêt rendu le 21 avril 2015 par la Cour d’appel civile (CACI 21 avril 2015/211) et lui a renvoyé la cause pour nouvelle décision dans le sens des considérants, afin de reprendre l’examen des prétentions de l’appelant (TF 4A_451/2015 du 26 février 2016 consid. 3.2).</w:t>
      </w:r>
    </w:p>
    <w:p>
      <w:r>
        <w:rPr>
          <w:b/>
        </w:rPr>
        <w:t>E. 3</w:t>
      </w:r>
    </w:p>
    <w:p>
      <w:r>
        <w:t>Selon l’art 318 al. 1 let. c CPC, l’instance d’appel peut renvoyer la cause à la première instance si un élément essentiel n’a pas été jugé ou si l’état de fait doit être complété sur des points essentiels (cf. également ATF 138 III 374 consid. 4.3.2 ; TF 5A_932/2012 du</w:t>
      </w:r>
    </w:p>
    <w:p>
      <w:r>
        <w:rPr>
          <w:b/>
        </w:rPr>
        <w:t>E. 8</w:t>
      </w:r>
    </w:p>
    <w:p>
      <w:r>
        <w:t>mars 2013 consid. 4.2.1). En l’espèce, au vu de l’arrêt de la Cour des assurances sociales intervenu dans l’intervalle (CASSO AI 246/14 – 159/2015 du 18 juin 2015), il y a lieu de renvoyer la cause à la Cour civile, dès lors que cet arrêt prend position sur les différentes expertises rendues et déduit très concrètement un taux d’invalidité pour les années 2009 et 2013. Or il s’agira, sur la base de ces nouveaux faits, de reprendre le calcul effectué pour les différentes périodes à considérer, en ordonnant le cas échéant une nouvelle expertise comptable que l’appelant avait du reste déjà – vainement – requise dans son appel et dont la question de la nécessité a été laissée indécise par l’arrêt de renvoi du Tribunal fédéral. 4. Vu l’issue incertaine du litige, les frais judiciaires de deuxième instance, arrêtés à 5’381 fr. (art. 62 al. 1 TFJC [Tarif des frais judiciaires civils du 28 septembre 2010 ; RS 270.11.5]), doivent être répartis par moitié entre chaque partie et les dépens compensés (art. 104 al. 2 et 106 al. 2 CPC ; cf. TF 4A_169/2010 du 23 août 2010 consid. 5), l’intimée étant condamnée à verser à l’appelant la somme de 2'690 fr. 50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