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75 vom 11. Januar 2016</w:t>
      </w:r>
    </w:p>
    <w:p>
      <w:r>
        <w:t>VD Tribunal cantonal, 2016-01-11, FR</w:t>
      </w:r>
    </w:p>
    <w:p>
      <w:r>
        <w:rPr>
          <w:b/>
        </w:rPr>
        <w:t xml:space="preserve">Quelle: </w:t>
      </w:r>
      <w:r>
        <w:t>https://mcp.opencaselaw.ch/entscheid/vd_findinfo_HC___2016___75</w:t>
      </w:r>
    </w:p>
    <w:p>
      <w:r>
        <w:t>FR: VD_FINDINFO HC / 2016 / 75 du 11 janvier 2016</w:t>
      </w:r>
    </w:p>
    <w:p>
      <w:r>
        <w:t>IT: VD_FINDINFO HC / 2016 / 75 del 11 gennaio 2016</w:t>
      </w:r>
    </w:p>
    <w:p>
      <w:pPr>
        <w:pStyle w:val="Heading2"/>
      </w:pPr>
      <w:r>
        <w:t>Regeste</w:t>
      </w:r>
    </w:p>
    <w:p>
      <w:r>
        <w:t>PROCÉDURE DE CONCILIATION, FRAIS JUDICIAIRES, JUGE DE PAIX | 207 al. 1 let. c CPC (CH), 207 al. 2 CPC (CH)</w:t>
      </w:r>
    </w:p>
    <w:p>
      <w:pPr>
        <w:pStyle w:val="Heading2"/>
      </w:pPr>
      <w:r>
        <w:t>Erwägungen</w:t>
      </w:r>
    </w:p>
    <w:p>
      <w:r>
        <w:rPr>
          <w:b/>
        </w:rPr>
        <w:t>E. 1</w:t>
      </w:r>
    </w:p>
    <w:p>
      <w:r>
        <w:t>L'art. 110 CPC (Code de procédure civile du 19 décembre 2008 ; RS 272) ouvre la voie du recours de l'art. 319 let. b ch. 1 CPC contre les décisions sur les frais, à savoir les frais judiciaires et les dépens (art. 95 CPC). En l'espèce, interjeté en temps utile (art. 321 al. 1 CPC)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w:t>
      </w:r>
    </w:p>
    <w:p>
      <w:r>
        <w:rPr>
          <w:b/>
        </w:rPr>
        <w:t>E. 3</w:t>
      </w:r>
    </w:p>
    <w:p>
      <w:r>
        <w:t>a) La recourante fait valoir que les frais de la procédure de conciliation auraient également dus être mis à la charge de la défenderesse, qui a succombé. b) Aux termes de l'art. 207 CPC, les frais de la procédure de conciliation sont mis à la charge du demandeur lorsqu’une autorisation de procéder est délivrée (al. 1 let. c). Lorsque la demande est déposée, les frais de la procédure de conciliation suivent le sort de la cause (al. 2). Cela signifie que le demandeur pourra en obtenir le cas échéant le remboursement dans le cadre des dépens alloués en cas de gain du procès. Toutefois, dans les causes soumises à la maxime des débats, le demandeur devra alléguer et prouver le montant mis à sa charge à ce titre, par exemple par la production de la décision de l'autorité de conciliation qui devrait le plus souvent résulter de l'autorisation de procéder (Tappy, CPC commenté, Bâle 2011, n. 11 ad art. 95 CPC). c) En l'espèce, la demande déposée en conciliation tendait au paiement d'un montant de 2'833 fr. 60 avec intérêts à 5 % l'an dès le 31 janvier 2012 et c'est finalement un montant de 2'000 fr., valeur échue, qui a été versé par la défenderesse, ensuite de la réduction de ses conclusions par la demanderesse. Dans ces circonstances, rien ne justifiait de faire supporter l'intégralité des frais de la procédure de conciliation à l'intimée et la recourante ne motive pas davantage son recours sur la question d'une répartition éventuelle de ces frais. Compte tenu du large pouvoir d'appréciation du premier juge en la matière, il ne se justifie pas de modifier la décision de première instance qui accorde déjà un montant non négligeable à la recourante à titre de dépens, compte tenu de la faible valeur litigieuse.</w:t>
      </w:r>
    </w:p>
    <w:p>
      <w:r>
        <w:rPr>
          <w:b/>
        </w:rPr>
        <w:t>E. 4</w:t>
      </w:r>
    </w:p>
    <w:p>
      <w:r>
        <w:t>Il s'ensuit que le recours doit être rejeté selon le mode procédural de l'art. 322 al. 1 CPC et la décision entreprise confirmée. Les frais judiciaires de deuxième instance, arrêtés à 100 fr. (art. 69 al. 1 TFJC [tarif des frais judiciaires en matière civile du 28 septembre 2010 ; RSV 270.11.5]), sont mis à la charge de la recourante, qui succombe (art. 106 al. 1 CPC). Il n'y a pas matière à l'allocation de dépens.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W.________SA. IV. L'arrêt motivé est exécutoire. Le président :               La greffière : Du 11 janvier 2016 Le dispositif de l'arrêt qui précède est communiqué par écrit aux intéressés. La greffière : Du L'arrêt qui précède, dont la rédaction a été approuvée à huis clos, est notifié en expédition complète, par l'envoi de photocopies, à : ‑ M. Julien Greub, aab (pour W.________SA) ‑ Mme Y.________ La Chambre des recours civile considère que la valeur litigieuse est de 210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