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74 vom 18. Januar 2016</w:t>
      </w:r>
    </w:p>
    <w:p>
      <w:r>
        <w:t>VD Tribunal cantonal, 2016-01-18, FR</w:t>
      </w:r>
    </w:p>
    <w:p>
      <w:r>
        <w:rPr>
          <w:b/>
        </w:rPr>
        <w:t xml:space="preserve">Quelle: </w:t>
      </w:r>
      <w:r>
        <w:t>https://mcp.opencaselaw.ch/entscheid/vd_findinfo_HC___2016___74</w:t>
      </w:r>
    </w:p>
    <w:p>
      <w:r>
        <w:t>FR: VD_FINDINFO HC / 2016 / 74 du 18 janvier 2016</w:t>
      </w:r>
    </w:p>
    <w:p>
      <w:r>
        <w:t>IT: VD_FINDINFO HC / 2016 / 74 del 18 gennaio 2016</w:t>
      </w:r>
    </w:p>
    <w:p>
      <w:pPr>
        <w:pStyle w:val="Heading2"/>
      </w:pPr>
      <w:r>
        <w:t>Regeste</w:t>
      </w:r>
    </w:p>
    <w:p>
      <w:r>
        <w:t>AVOCAT D'OFFICE, HONORAIRES | 110 CPC (CH), 122 al. 1 let. a CPC (CH), 319 let. b ch. 1 CPC (CH), 3 al. 2 RAJ</w:t>
      </w:r>
    </w:p>
    <w:p>
      <w:pPr>
        <w:pStyle w:val="Heading2"/>
      </w:pPr>
      <w:r>
        <w:t>Erwägungen</w:t>
      </w:r>
    </w:p>
    <w:p>
      <w:r>
        <w:rPr>
          <w:b/>
        </w:rPr>
        <w:t>E. 1.1</w:t>
      </w:r>
    </w:p>
    <w:p>
      <w:r>
        <w:t>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dans le cadre d’une requête d’assistance judiciaire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 rémunération équitable accordée (ATF 131 V 153 consid. 1 ; Tappy, CPC commenté, 2011, n. 22 ad art. 122 CPC ; CREC 13 août 2015/209).</w:t>
      </w:r>
    </w:p>
    <w:p>
      <w:r>
        <w:rPr>
          <w:b/>
        </w:rPr>
        <w:t>E. 1.2</w:t>
      </w:r>
    </w:p>
    <w:p>
      <w:r>
        <w:t>En l’espèce, formé en temps utile, par une partie qui y a un intérêt (art. 59 al. 2 let. a CPC), dans la mesure où Me A.________ sollicite l’augmentation de l’indemnité d’office qui lui est allouée, et respectant les exigences formelles (art. 321 CPC), le recours est recevable.</w:t>
      </w:r>
    </w:p>
    <w:p>
      <w:r>
        <w:rPr>
          <w:b/>
        </w:rPr>
        <w:t>E. 2.1</w:t>
      </w:r>
    </w:p>
    <w:p>
      <w:r>
        <w:t>Selon l’art. 320 CPC, le recours est recevable pour violation du droit (let. a) ou pour constatation manifestement inexacte des faits (let. b). L'autorité de recours dispose d'un plein pouvoir d'examen s'agissant de la violation du droit (Spühler, in : Basler Kommentar, 2 e éd., Bâle 2013, n. 25 ad art. 319 CPC) ; elle revoit librement les questions de droit soulevées par le recourant et peut substituer ses propres motifs à ceux de l'autorité précédente ou du recourant (Hohl, Procédure civile, tome II, 2 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w:t>
      </w:r>
    </w:p>
    <w:p>
      <w:r>
        <w:rPr>
          <w:b/>
        </w:rPr>
        <w:t>E. 2.2</w:t>
      </w:r>
    </w:p>
    <w:p>
      <w:r>
        <w:t>Les conclusions, les allégations de fait et les preuves nouvelles sont irrecevables (art. 326 al. 1 CPC).</w:t>
      </w:r>
    </w:p>
    <w:p>
      <w:r>
        <w:rPr>
          <w:b/>
        </w:rPr>
        <w:t>E. 2.3</w:t>
      </w:r>
    </w:p>
    <w:p>
      <w:r>
        <w:t>En l’espèce, les pièces de forme et celles qui sont antérieures au prononcé de première instance (P. 1 à P. 21) sont recevables tandis que les pièces nouvelles produites en deuxième instance (P. 22 à P. 34) sont irrecevables ; ces dernières ne sont au demeurant pas déterminantes pour le sort du recours.</w:t>
      </w:r>
    </w:p>
    <w:p>
      <w:r>
        <w:rPr>
          <w:b/>
        </w:rPr>
        <w:t>E. 3.1</w:t>
      </w:r>
    </w:p>
    <w:p>
      <w:r>
        <w:t>Le recourant reproche au premier juge d’avoir sous-évalué ses opérations et ses débours pour la période du 7 mai au 19 octobre 2015. Selon lui, on ne saurait en tout état de cause estimer, pour cette période – laquelle s’étend sur plus de cinq mois –, le temps nécessaire à son activité à une demi-heure ; s’agissant des débours, il se réfère à un montant forfaitaire de 100 francs. Il sollicite en conséquence une indemnité de 8'374 fr., débours, vacation et TVA compris, correspondant à 42.2 heures d’activité (23.8 + 18.4) et à 158 fr. 25 de débours (143 fr. 65 + 14 fr. 60), pour son mandat d’office durant la période du 9 décembre 2014 au 19 octobre 2015.</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in : Basler Kommentar, op. cit., nn. 5 à 7 ad art. 122 CPC).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consid. 3b ; 117 la 22 consid. 3a ; TF 6B_745/2009 du 12 novembre 2009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117 la 22 précité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encore qui relèvent de l'aide sociale (cf. JdT 2013 III 35 et les références). L'avocat doit toutefois bénéficier d'une marge d'appréciation suffisante pour déterminer l'importance du travail qu'exige l'affaire (CREC 16 mai 2012/178 ; CREC 2 octobre 2012/344). 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 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alors qu’en l'absence de liste des débours, le conseil juridique commis d'office reçoit à ce titre une indemnité forfaitaire de 50 fr. pour une affaire transigée avant l'ouverture d'action et de 100 fr. dans les autres cas (al. 3).</w:t>
      </w:r>
    </w:p>
    <w:p>
      <w:r>
        <w:rPr>
          <w:b/>
        </w:rPr>
        <w:t>E. 3.3</w:t>
      </w:r>
    </w:p>
    <w:p>
      <w:r>
        <w:t>En l’espèce, en l’absence de liste d’opérations complémentaire pour la période du 7 mai au 19 octobre 2015, c’est à juste titre que le premier juge a procédé à une estimation des opérations accomplies, conformément à l’art. 3 al. 2 RAJ. Si le principe d’une estimation doit être approuvé, l’appréciation faite par le premier juge ne saurait en revanche être suivie.</w:t>
      </w:r>
    </w:p>
    <w:p>
      <w:r>
        <w:rPr>
          <w:b/>
        </w:rPr>
        <w:t>E. 3.3.1</w:t>
      </w:r>
    </w:p>
    <w:p>
      <w:r>
        <w:t>A cet égard, on ne discerne pas à quoi correspond le temps de 30 minutes retenu pour les opérations nécessaires à la conduite du procès. Il résulte en particulier du dossier, notamment du procès-verbal des opérations, que le jugement rejetant la demande en divorce a été envoyé aux parties le 19 mai 2015, ce qui impliquait pour le recourant de le transmettre à son client, le cas échéant, en le commentant ou en discutant l’opportunité de le contester par la voie de l’appel, respectivement du recours. Différents courriers et/ou déterminations ont par la suite été déposés (cf. lettre C.2 supra) ; ces échanges nécessitaient pour la plupart d’entre eux des communications préalables avec le client, sous forme de conférences, téléphones ou correspondances. Ainsi, un délai pour se déterminer sur le signalement SPJ a notamment été imparti aux parties par l’autorité judiciaire. Le recourant a également obtenu la confirmation que son client bénéficiait toujours, dans le cadre de la procédure de divoce, de l’assistance judiciaire. Deux prolongations de délai ont encore été requises et accordées au recourant, lequel a transmis ses déterminations au sujet du signalement SPJ le 19 juin 2015. Enfin, le rapport du Dr [...] a fait l’objet de déterminations de la part du recourant qui les a déposées le 24 septembre 2015, non pas sans avoir précédemment requis et obtenu deux prolongations de délai. Au vu de ce qui précède, il convient d’évaluer en équité le temps nécessaire à l’accomplissement de ces opérations (prise de connaissance de pièces, correspondances diverses, conférences ou communications et rédaction de déterminations) à 5 heures pour la période du 7 mai au 19 octobre 2015. Ce temps doit s’ajouter aux 23.8 heures déjà retenues par le premier juge pour la période du 9 décembre 2014 au 6 mai 2015, qui ne sont pas remises en cause au stade du recours, ce qui porte le total à 28.8 heures pour l’entier de la période en cause.</w:t>
      </w:r>
    </w:p>
    <w:p>
      <w:r>
        <w:rPr>
          <w:b/>
        </w:rPr>
        <w:t>E. 3.3.2</w:t>
      </w:r>
    </w:p>
    <w:p>
      <w:r>
        <w:t>En outre, s’agissant des débours, on ne saurait confirmer le montant de 4 fr. fixé à ce titre par le premier juge, qui est à l’évidence sous-évalué vu les divers échanges de correspondances intervenus entre le 7 mai et le 19 octobre 2015. Il faut au contraire retenir en équité un montant de 54 fr., ce qui paraît adéquat compte tenu des circonstances de l’espèce. Ce montant doit également s’ajouter aux 143 fr. 65 de débours fixés par le premier juge pour la période du 9 décembre 2014 au 6 mai 2015, qui ne sont pas contestés, de sorte qu’il convient au final de retenir un montant de 197 fr. 65 à titre de débours pour l’entier de la période en cause.</w:t>
      </w:r>
    </w:p>
    <w:p>
      <w:r>
        <w:rPr>
          <w:b/>
        </w:rPr>
        <w:t>E. 3.4</w:t>
      </w:r>
    </w:p>
    <w:p>
      <w:r>
        <w:t>Il s’ensuit que l’indemnité d’office doit être arrêtée en retenant 28.8 heures de travail d'avocat breveté, au tarif horaire de 180 fr. (5'184 fr. = [23.8 + 5] x 180), et des débours à 197 fr. 65 (143.65 + 54), auxquels on ajoute la TVA, par 430 fr. 55, ce qui porte le montant total à 5'812 fr. 20 pour la période du 9 décembre 2014 au 19 octobre 2015 – au lieu des 4'883 fr. 40 fixés par le premier juge.</w:t>
      </w:r>
    </w:p>
    <w:p>
      <w:r>
        <w:rPr>
          <w:b/>
        </w:rPr>
        <w:t>E. 4.1</w:t>
      </w:r>
    </w:p>
    <w:p>
      <w:r>
        <w:t>En définitive, le recours doit être partiellement admis et le prononcé du 11 novembre 2015 réformé à son chiffre I dans le sens des considérants qui précèdent (cf. consid. 3.4 supra).</w:t>
      </w:r>
    </w:p>
    <w:p>
      <w:r>
        <w:rPr>
          <w:b/>
        </w:rPr>
        <w:t>E. 4.2</w:t>
      </w:r>
    </w:p>
    <w:p>
      <w:r>
        <w:t>Si le dispositif de la décision est peu clair, contradictoire ou incomplet ou qu’il ne correspond pas à la motivation, l’art. 334 al. 1 CPC permet au tribunal de procéder, sur requête ou d’office, à l’interprétation ou à la rectification de sa décision. Il y a lieu en particulier à rectification lorsqu'une erreur patente est manifestement due à une inadvertance (Schweizer, in : CPC commenté, n. 11 ad art. 334 CPC). Il s’avère en l’occurrence que le dispositif de l’arrêt tel que notifié aux parties le 19 janvier 2015 doit être rectifié d’office dès lors qu’il contient une erreur manifeste : le chiffre II du dispositif fait en effet mention d’une indemnité pour la période du 9 septembre 2014 au 19 octobre 2015 ; or la période en cause concerne des opérations effectuées entre le 9 décembre 2014 et le 19 octobre 2015, soit dès la date à partir de laquelle l’assistance judiciaire a été octroyée. On précisera du reste que cela correspond à la motivation du recours (cf. recours en p. 10), de sorte qu’il faut considérer qu’une erreur de plume s’est glissée dans la conclusion principale du recourant (cf. lettre B supra).</w:t>
      </w:r>
    </w:p>
    <w:p>
      <w:r>
        <w:rPr>
          <w:b/>
        </w:rPr>
        <w:t>E. 4.3</w:t>
      </w:r>
    </w:p>
    <w:p>
      <w:r>
        <w:t>Vu l’issue de la cause, les frais judiciaires de deuxième instance, arrêtés à 100 fr. (art. 69 al. 3 TFJC [tarif des frais judiciaires civils du 28 septembre 2010 ; RSV 270.11.5]), seront mis à la charge de l’Etat. Par ces motifs, la Chambre des recours civile du Tribunal cantonal, prononce : I. Le recours est partiellement admis. II. Le prononcé est réformé comme il suit à son chiffre I : Alloue à Me A.________, conseil d’office de V.________, une indemnité de 5'812 fr. 20 (cinq mille huit cent douze francs et vingt centimes), débours, vacation et TVA compris, pour la période du 9 décembre 2014 au 19 octobre 2015, et le relève de son mandat de conseil d’office. Le prononcé est confirmé pour le surplus. III. Les frais judiciaires de deuxième instance, arrêtés à 100 fr. (cent francs), sont mis à la charge de l’Etat. IV. L’arrêt motivé est exécutoire. Le président : La greffière : Du 19 janvier 2016 Le dispositif de l'arrêt qui précède est communiqué par écrit aux intéressés. La greffière : Du L'arrêt qui précède, dont la rédaction a été approuvée à huis clos, est notifié en expédition complète, par l'envoi de photocopies, à : ‑ Me A.________, ‑ M.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