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738 vom 6. Juli 2016</w:t>
      </w:r>
    </w:p>
    <w:p>
      <w:r>
        <w:t>VD Tribunal cantonal, 2016-07-06, FR</w:t>
      </w:r>
    </w:p>
    <w:p>
      <w:r>
        <w:rPr>
          <w:b/>
        </w:rPr>
        <w:t xml:space="preserve">Quelle: </w:t>
      </w:r>
      <w:r>
        <w:t>https://mcp.opencaselaw.ch/entscheid/vd_findinfo_HC___2016___738</w:t>
      </w:r>
    </w:p>
    <w:p>
      <w:r>
        <w:t>FR: VD_FINDINFO HC / 2016 / 738 du 6 juillet 2016</w:t>
      </w:r>
    </w:p>
    <w:p>
      <w:r>
        <w:t>IT: VD_FINDINFO HC / 2016 / 738 del 6 luglio 2016</w:t>
      </w:r>
    </w:p>
    <w:p>
      <w:pPr>
        <w:pStyle w:val="Heading2"/>
      </w:pPr>
      <w:r>
        <w:t>Regeste</w:t>
      </w:r>
    </w:p>
    <w:p>
      <w:r>
        <w:t>PRINCIPE DE LA CONFIANCE{INTERPRÉTATION DU CONTRAT}, CONTRAT DE TRAVAIL, MANDAT, CONTRAT DE CONSULTANT | 18 CO, 319 al. 1 CO, 394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Le délai d'appel est suspendu durant les féries judiciaires, soit en particulier du 7 e jour avant Pâques au 7 e jour qui suit Pâques inclus (art. 145 al. 1 let. a CPC). La Cour d'appel civile connaît de tous les appels formés en application de l'art. 308 CPC (art. 84 al. 1 LOJV [loi d'organisation judiciaire du 12 décembre 1979, RSV 173.01]).</w:t>
      </w:r>
    </w:p>
    <w:p>
      <w:r>
        <w:rPr>
          <w:b/>
        </w:rPr>
        <w:t>E. 1.2</w:t>
      </w:r>
    </w:p>
    <w:p>
      <w:r>
        <w:t>En l’espèce, formé en temps utile – compte tenu des féries judiciaires – par une partie qui a un intérêt digne de protection (art. 59 al. 2 let. a CPC) et portant sur des conclusions supérieures à 10'000 fr., l’appel de V.________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rPr>
          <w:b/>
        </w:rPr>
        <w:t>E. 3.1</w:t>
      </w:r>
    </w:p>
    <w:p>
      <w:r>
        <w:t>L’appelant soutient que les parties étaient liées par un contrat de travail, alors que les premiers juges ont retenu avec l’intimée qu’il s’agissait d’un mandat. Il invoque tout d’abord une constatation inexacte des faits, sans toutefois indiquer en quoi les faits retenus par les premiers juges seraient contraires aux éléments du dossier. Il se borne à procéder, par allégués, à un rappel des faits, en précisant, dans la partie « en droit » de son écriture, certains faits, tels que le paiement par U.________ SA de son assurance maladie, le fait qu’après son renvoi d’Angola, il ait travaillé à Nyon, au siège de la société, la mise à sa disposition d’un téléphone cellulaire, la possibilité d’utiliser son adresse électronique privée durant ses périodes de service et les motifs qui l’ont amené à se présenter en tant que consultant, respectivement auditeur dans son curriculum vitae. Mis à part ce dernier élément – qui, pour autant qu’il puisse être vérifié, n’est toutefois pas pertinent (consid. 3.3 infra ) –, tous les autres faits invoqués par l’appelant, qui résultent soit des échanges de courriers/courriels entre les parties, soit des tableaux récapitulatifs de l’appelant, ont été exposés par les premiers juges. Au demeurant, l'état de fait du jugement entrepris est conforme aux pièces du dossier et a été complété sur la base de celles-ci.</w:t>
      </w:r>
    </w:p>
    <w:p>
      <w:r>
        <w:rPr>
          <w:b/>
        </w:rPr>
        <w:t>E. 3.2</w:t>
      </w:r>
    </w:p>
    <w:p>
      <w:r>
        <w:t>supra ), c’est à juste titre que les premiers juges ont retenu que les parties n’étaient pas liées par un contrat de travail, mais par un contrat de mandat. Ils étaient fondés à rejeter les prétentions en paiement du demandeur, qui reposent sur un contrat de travail dont l’existence est niée en l’espèce. Par ailleurs, il n’est pas contesté que la rémunération convenue a été octroyée à concurrence de l’activité effectivement déployée, l’appelant réclamant uniquement le paiement de son salaire correspondant aux jours non travaillés et de celui afférent aux vacances, de sorte qu’il n’y a pas lieu de s’y arrêter.</w:t>
      </w:r>
    </w:p>
    <w:p>
      <w:r>
        <w:rPr>
          <w:b/>
        </w:rPr>
        <w:t>E. 3.2.1</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4A_65/2012 du 21 mai 2012 consid. 10.2 ; Winiger, Commentaire romand, Code des obligations I, 2 e éd., 2012, n os 15 ss, spéc. n os 25 et 32-34 ad art. 18 CO). La recherche de la volonté réelle des parties est qualifiée d'interprétation subjective ( ATF 131 III 606 consid. 4.1 p. 611; ATF 125 III 305 consid. 2b p. 308). Déterminer ce qu'un cocontractant savait et voulait au moment de conclure relève des constatations de fait ( ATF 131 III 606 consid. 4.1 p. 611; ATF 128 III 419 consid. 2.2 p. 422).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133 III 61 consid. 2.2.1). Cette interprétation dite objective, qui relève du droit, s'effectue non seulement d'après le texte et le contexte des déclarations, mais également sur le vu des circonstances qui les ont précédées et accompagnées ( ATF 131 III 377 consid. 4.2.1; ATF 119 II 449 consid. 3a), à l'exclusion des circonstances postérieures ( ATF 132 III 626 consid. 3.1). L'application du principe de la confiance est une question de droit ; cependant, pour trancher cette question, le juge doit se fonder sur le contenu des manifestations de volonté et sur les circonstances, dont la constatation relève du fait ( ATF 135 III 410 consid. 3.2). La qualification juridique d'un contrat est une question de droit ( ATF 131 III 217 consid. 3 p. 219). Le juge détermine ainsi librement la nature de la convention d'après l'aménagement objectif de la relation contractuelle (objektive Vertragsgestaltung), sans être lié par la qualification même concordante donnée par les parties ( ATF 84 II 493 consid. 2; TF 4A_194/2011 du 5 juillet 2011 consid. 5.3, résumé in JdT 2012 II 198). La dénomination d'un contrat n'est pas déterminante pour évaluer sa nature juridique (art. 18 al. 1 CO; ATF 129 III 664 consid. 3.1). En bref, le juge doit s'efforcer de rechercher la réelle et commune intention des parties sur tous les points sur lesquels une telle volonté peut être établie. Sur la base de l'ensemble des déclarations et comportements des parties, le juge doit déterminer la nature juridique de la convention en se référant aux éléments constitutifs des types de contrats entrant en considération et aux critères de distinction posés par la jurisprudence et la doctrine (TF 4A_200/2015 du 3 septembre 2015 consid. 4.1.4).</w:t>
      </w:r>
    </w:p>
    <w:p>
      <w:r>
        <w:rPr>
          <w:b/>
        </w:rPr>
        <w:t>E. 3.2.2.1</w:t>
      </w:r>
    </w:p>
    <w:p>
      <w:r>
        <w:t>A teneur de l'art. 319 al. 1 CO, par le contrat individuel de travail, le travailleur s'engage, pour une durée déterminée ou indéterminée, à travailler au service de l'employeur et celui-ci à payer un salaire fixé d'après le temps ou le travail fourni. Est aussi réputé contrat individuel de travail le contrat par lequel un travailleur s’engage à travailler régulièrement au service de l’employeur par heures, demi-journées ou journées (travail à temps partiel) (art. 319 al. 2 CO). Les éléments caractéristiques du contrat de travail sont une prestation de travail, un rapport de subordination, un élément de durée et une rémunération (TF 4P.337/2005 du 21 mars 2006 consid. 3.3.2 et les références citées). Par le contrat de travail, le travailleur s’engage à mettre à disposition de son employeur tout ou partie de sa force de travail pour une durée déterminée ou indéterminée. Le contrat de travail est donc un contrat de durée, la fourniture de la prestation de travail s’étalant dans le temps. Le contrat ne s’éteint pas par l’échange d’une prestation et d’une contre-prestation, mais par l’écoulement du temps convenu (contrat de durée déterminée) ou par le congé donné par l’une des parties (contrat de durée indéterminée) (Philippe Carruzzo, Le contrat individuel de travail, Zurich 2009, pp. 2ss). Le salaire est à tel point typique du contrat de travail que, souvent, le mot « salarié » se trouve utilisé pour désigner le travailleur. Il n’y a pas de contrat de travail lorsque la personne qui déploie l’activité entend agir à titre gratuit. Le salaire est calculé d’après le temps (à l’heure, à la journée, à la semaine, au mois, à l’année, etc.) ou selon le résultat (salaire aux pièces, à la tâche, à la commission, etc..). Le salaire au temps paraît le plus courant. Il illustre le fait que la rémunération est versée en contrepartie du temps mis par le travailleur à la disposition de l’employeur. Sous l’angle de la rémunération, le contrat de travail ne se distingue pas toujours clairement des autres contrats voisins. En effet, un garagiste (entrepreneur) ou un avocat (mandataire) facture souvent (mais non pas exclusivement) ses interventions à l’heure. La différence d’avec le contrat de travail, ici, est que la rémunération de l’entrepreneur ou du mandataire rétribue l’ouvrage ou l’activité même et non pas la mise à disposition du temps (Aubert, Commentaire romand, op. cit., p. 1967).</w:t>
      </w:r>
    </w:p>
    <w:p>
      <w:r>
        <w:rPr>
          <w:b/>
        </w:rPr>
        <w:t>E. 3.2.2.2</w:t>
      </w:r>
    </w:p>
    <w:p>
      <w:r>
        <w:t>Le mandat est un contrat par lequel le mandataire s’oblige, dans les termes de la convention, à gérer l’affaire dont il s’est chargé ou à rendre les services qu’il a promis (art. 394 al. 1 CO). L’obligation principale du mandataire est un facere. Il s’engage à fournir sa diligence en vue d’atteindre le résultat escompté, mais celui-ci,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 JdT 2001 I 254 ; ATF 109 II 34 consid. 3a).</w:t>
      </w:r>
    </w:p>
    <w:p>
      <w:r>
        <w:rPr>
          <w:b/>
        </w:rPr>
        <w:t>E. 3.2.2.3</w:t>
      </w:r>
    </w:p>
    <w:p>
      <w:r>
        <w:t>Le contrat de travail se distingue avant tout des autres contrats de prestation de services, en particulier du mandat, par l'existence d'un lien de subordination ( ATF 125 III 78 consid. 4; ATF 112 II 41 consid. 1 a/aa p. 46 et consid. 1 a/bb in fine p. 47; cf. aussi ATF 134 III 102 consid. 3.1.2; ATF 130 III 213 consid. 2.1 p. 216), qui place le travailleur dans la dépendance de l'employeur sous l'angle personnel, organisationnel et temporel, et dans une certaine mesure économique (cf. ATF 121 I 259 consid. 3a p. 262; ATF 107 II 430 consid. 1; ATF 95 I 21 consid. 5b p. 25). Le travailleur est assujetti à la surveillance, aux ordres et instructions de l'employeur; il est intégré dans l'organisation de travail d'autrui et y reçoit une place déterminée (TF 4A_602/2013 du 27 mars 2014 consid. 3.2; TF 4A_194/2011 du 5 juillet 2011 consid. 5.6.1). Le mandataire, en revanche, doit certes suivre les instructions du mandant, mais il agit indépendamment et sous sa seule responsabilité, alors que le travailleur se trouve au service de l'employeur; d'autres indices complémentaires peuvent également aider à la distinction, tel que l'élément de durée propre au contrat de travail, alors que le mandat peut aussi n'être qu'occasionnel (TF 4A_200/2015 précité consid. 4.2.1). Les critères formels, tels que l'intitulé du contrat, les déclarations des parties ou les déductions aux assurances sociales, ne sont pas déterminants. Il faut bien plutôt tenir compte de critères matériels relatifs à la manière dont la prestation de travail est effectivement exécutée, tels que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 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(Wyler/Heinzer, Droit du travail, 3 e éd. 2014, p. 21). Dans un tel cas, plaident notamment en faveur du contrat de travail la rémunération fixe ou périodique, la mise à disposition d'une place de travail et des outils de travail, ainsi que la prise en charge par l'employeur du risque de l'entreprise (Staehelin, Zürcher Kommentar,</w:t>
      </w:r>
    </w:p>
    <w:p>
      <w:r>
        <w:rPr>
          <w:b/>
        </w:rPr>
        <w:t>E. 3.3</w:t>
      </w:r>
    </w:p>
    <w:p>
      <w:r>
        <w:t>En l’espèce, même sans s’en tenir à la désignation de la défenderesse comme « mandant » dans le contrat signé par les parties, il apparaît clairement que les parties n’ont pas eu l’intention de se lier par un contrat de travail (interprétation subjective [consid. 3.2.1 supra ]). Le demandeur a été engagé comme « consultant », par un contrat défini comme un « contrat-cadre », avec des rémunérations fixées en euros et calculées par journée passées à l’étranger. Quoi que le demandeur en dise en procédure, la situation juridique ne pouvait qu’être tout à fait claire pour lui, qui a passé toute sa carrière comme cadre supérieur dans des entreprises à vocation internationale et qui a même été à une époque responsable des ressources humaines dans l’une de ces entreprises. Or, à aucun moment, avant, pendant et après les relations contractuelles, le demandeur ne s’est-il considéré comme un employé ou s’est-il prévenu d’une telle qualité. Même après la résiliation du contrat, il n’y a jamais eu de référence quelconque à un contrat de travail ni à des prétentions relevant d’un contrat de travail, la première mention d’un tel contrat de travail ne se trouvant que dans la requête de conciliation. Les premiers juges, se livrant à une interprétation sous l’angle du principe de la confiance, ont relevé : - que les termes utilisés dans le contrat – mandat/consultant – paraissaient à première vue clairs et non équivoques ; - que la présentation de l’activité faite – plusieurs mois après le début des relations contractuelles – par le demandeur dans son curriculum vitae montrait bien qu’il s’agissait d’une activité professionnelle d’un type tout à fait différent des activités antérieures, l’absence de toute référence à un employeur n’étant pas la moindre de ces différences ; - que la rédaction de rapports par le demandeur au terme de chacune de ses missions faisait typiquement partie de l’activité d’un consultant ; - que la rémunération allouée uniquement en fonction des jours effectivement travaillés ( contra art. 324 CO) était un indice de plus ; - que le fait pour le demandeur de payer lui-même l’entier de ses charges et des primes d’une assurance d’indemnités journalières en cas de maladie plaidaient aussi pour une activité indépendante ; - qu’il n’y avait pas vraiment de rapport de subordination, le demandeur établissant lui-même ses plannings à l’avance ; - que le demandeur ne recevait aucune instruction particulière quant à la manière d’effectuer ses missions. L’appelant admet qu’il effectuait des prestations de conseil mais conteste sans motif pertinent que cela joue un rôle dans la qualification du contrat ; or, cet élément est d’autant plus important qu’il va dans le sens de la description faite par l’appelant lui-même de son activité dans son curriculum vitae, dans lequel il n’indique d’ailleurs, dans la rubrique consacrée à l’activité litigieuse et contrairement aux autres activités précédentes, aucun nom d’employeur. A cet égard, l’argument de la prétendue nécessité de se présenter comme consultant, respectivement auditeur dans son curriculum vitae pour pouvoir séjourner en Afrique n’est pas pertinent, dès lors que l’activité exercée par V.________ consistant à « donner des conseils et propos[er] des solutions à U.________ afin de lui permettre d’optimiser la gestion de ses fichiers » – telle que décrite par l’appelant lui-même (appel, p. 21, par. 8) – reflétait bel et bien celle de consulting . Cette allégation ne repose d’ailleurs sur aucun élément concret et n’est attestée par aucun témoin, contrairement à ce que prétend l’appelant (cf. all. 14 de la demande, auquel renvoie le demandeur dans ses déterminations du 27 octobre 2014 ad all. 50 de la réponse). L’appelant invoque à l’appui de son argument son expulsion d’Angola en novembre 2011 « faute de documents corrects qui auraient dû [lui] être fournis par U.________ » (pièce 5 du bordereau du 8 avril 2014 ; cf. demande, all. 14) ; or, les raisons de sa prétendue expulsion – contestée par l’intimée (réponse, p. 2 et all. 50) – ne sont attestées par aucun élément du dossier, le témoin K.________ s’étant limité à déclarer sur ce point qu’il n’était pas en mesure de dire ce qui s’était réellement passé (pv des opérations, p. 10 in initio ). Contrairement à ce que soutient ensuite l’appelant, le fait que la défenderesse se soit engagée à couvrir les frais « pour une assurance tous risques pendant les missions » ne constitue pas un élément décisif en faveur de l’existence d’un contrat de travail. Quant au critère de subordination, qui fait l’objet des pages 20 et 21 de l’appel, son importance doit être relativisée dans la mesure où, comme l’appelant le reconnaît lui-même (appel, p. 21, par. 8), il exerçait une activité « essentiellement libérale et dirigeante » (cf. consid. 3.2.2.3 supra ). Certes, l’appelant ne choisissait pas le lieu de ses missions et le contenu de celles-ci faisait l’objet d’instructions données par la défenderesse. Mais tel est le lot des mandataires comme des employés et, au contraire, l’indépendance dont bénéficiait l’appelant dans l’exécution des instructions données tend à corroborer l’existence d’un mandat. Il apparaît manifestement que, une fois sur place, le demandeur s’organisait comme il le souhaitait pour remplir la mission de consulting qui lui avait été confiée. Le fait que l’appelant établissait lui-même à l’avance son planning, sur lequel figuraient en alternance ses plages de disponibilité et de repos, tend lui aussi à corroborer l’existence d’un mandat, comme le fait que, requis de modifier ce planning à la dernière minute en août 2012, l’appelant ait, dans son courriel du 15 août 2012 à K.________, indiqué sans plus amples développements qu’il n’était pas disponible pour des « obligations privées » (aucun élément au dossier ne permettant d’attester qu’il s’agissait de « rendez-vous médicaux », comme il le prétend dans son appel). On se trouve donc dans une situation qui n’est pas comparable à celle d’un travail à temps partiel sur appel et il est faux de prétendre que le moment et la durée de la prestation de l’intéressé étaient, en l’occurrence, définis par l’employeur (appel, p. 24, par. 5). Le fait que l’appelant ait été engagé pour accomplir des « missions ponctuelles de remplacement des expatriés ou de renfort aux agences U.________ » n’est à cet égard pas déterminant et rien au dossier ne permet de retenir qu’il ait effectivement remplacé des « collègues absents », comme il le prétend, le témoin K.________, entendu sur ce point, s’étant limité à dire qu’il était « possible » qu’il l’ait fait et la proposition de l’appelant dans ce sens, formulée au terme de son courrier du 18 juillet 2012, étant demeurée sans suite. L’appelant soutient à tort que la défenderesse n’aurait « jamais contesté » le fait que lorsqu’aucun travail ne lui était confié durant ses périodes de disponibilité, il se considérait comme étant « en service rémunéré », comme il l’a écrit dans ses courriers des 5 janvier, 9 août et 28 novembre 2012. Il suffit en effet de se référer au courrier de la défenderesse du 11 janvier 2013, par lequel celle-ci a, en réponse à la lettre du demandeur du 28 novembre 2012, clairement indiqué que seuls les frais engendrés lors de sa dernière mission (du 4 octobre au 9 novembre 2012) validée par la direction d’U.________ SA lui seraient remboursés et qu’elle n’entrait pas en matière sur les autres missions auxquelles le demandeur faisait référence, dès lors que celles-ci n’avaient selon elle jamais eu lieu. On ne peut rien tirer non plus de la référence à un « salaire » dans les courriels des 25 et 31 juillet 2012 invoqués par l’appelant en page 7 de son appel : on constate en effet que, dans d’autres courriels de l’appelant, il est question deux fois d’un « virement » et une fois d’une « note de frais ». Au contraire, le fait que la rémunération était versée « par mission » et sur le seul critère du nombre de journées passées à l’étranger, comme le démontrent clairement les montants que le demandeur a réclamés à la défenderesse – figurant dans son tableau récapitulatif annexé à son courrier du 28 novembre 2012 et dans celui du 28 septembre 2013 –, plaide pour une activité indépendante. Au surplus, la stipulation de la rémunération en euros contribue elle aussi à exclure que les parties aient voulu se lier par un contrat de travail soumis au droit suisse. Le critère du risque économique doit également être relativisé. L’appelant ne supportait évidemment pas le risque économique des activités africaines de la défenderesse, mais, comme pour d’autres consultants et mandataires, il supportait le risque économique de sa propre activité de consultant. Enfin, si l’appelant a régulièrement fourni ses services à U.________ SA pendant environ trois ans, on ne saurait affirmer de manière péremptoire, comme le fait l’intéressé, qu’il devait travailler « uniquement [pour] U.________ SA ». Les deux témoins entendus ont en effet clairement expliqué qu’il n’était pas formellement interdit au demandeur de travailler pour d’autres sociétés, même si cela aurait fortement déplu à la défenderesse. Au vu de l’ensemble de ces éléments et de la jurisprudence précitée (cf. consid.</w:t>
      </w:r>
    </w:p>
    <w:p>
      <w:r>
        <w:rPr>
          <w:b/>
        </w:rPr>
        <w:t>E. 4</w:t>
      </w:r>
    </w:p>
    <w:p>
      <w:r>
        <w:t>En conclusion, l’appel doit être rejeté selon le mode procédural de l’art. 312 al. 1 CPC et le jugement confirmé. Les frais judiciaires de deuxième instance, arrêtés à 2'300 fr. (art. 62 al. 1 TFJC [tarif du 28 septembre 2010 des frais judiciaires civils ; RSV 270.11.5]), doivent être mis à la charge de l’appelant, qui succombe (art. 106 al. 1 CPC). Il n’y a pas lieu d’allouer de dépens de deuxième instance, l’intimée n’ayant pas été invitée à se déterminer et n’ayant par conséquent pas encouru de frais pour la procédure d’appel (cf. art. 95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