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691 vom 18. Juli 2016</w:t>
      </w:r>
    </w:p>
    <w:p>
      <w:r>
        <w:t>VD Tribunal cantonal, 2016-07-18, FR</w:t>
      </w:r>
    </w:p>
    <w:p>
      <w:r>
        <w:rPr>
          <w:b/>
        </w:rPr>
        <w:t xml:space="preserve">Quelle: </w:t>
      </w:r>
      <w:r>
        <w:t>https://mcp.opencaselaw.ch/entscheid/vd_findinfo_HC___2016___691</w:t>
      </w:r>
    </w:p>
    <w:p>
      <w:r>
        <w:t>FR: VD_FINDINFO HC / 2016 / 691 du 18 juillet 2016</w:t>
      </w:r>
    </w:p>
    <w:p>
      <w:r>
        <w:t>IT: VD_FINDINFO HC / 2016 / 691 del 18 luglio 2016</w:t>
      </w:r>
    </w:p>
    <w:p>
      <w:pPr>
        <w:pStyle w:val="Heading2"/>
      </w:pPr>
      <w:r>
        <w:t>Regeste</w:t>
      </w:r>
    </w:p>
    <w:p>
      <w:r>
        <w:t>EXPULSION DE LOCATAIRE, DEMEURE, BAIL À LOYER, RÉDUCTION{EN GÉNÉRAL}, LOYER, CAS CLAIR | 257d CO, 257 CPC (CH)</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la). En l'espèce, le loyer mensuel s'élevant à 4’250 fr., la valeur litigieuse est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par la partie locataire qui a succombé en première instance et qui y a intérêt (art. 59 al. 2 let. a CPC),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En l’espèce, les pièces nouvelles produites par l'appelante sont irrecevables.</w:t>
      </w:r>
    </w:p>
    <w:p>
      <w:r>
        <w:rPr>
          <w:b/>
        </w:rPr>
        <w:t>E. 3.1</w:t>
      </w:r>
    </w:p>
    <w:p>
      <w:r>
        <w:t>L'appelante conteste l'application de la procédure de cas clair. Elle expose qu'elle était en droit de s'attendre à une diminution de loyer à raison de la perte imposée de son espace bureau. Par ailleurs, elle expose que la lettre comminatoire du 15 janvier 2016 constituerait un deuxième rappel concernant uniquement le loyer du mois de décembre 2015, à l'exclusion du loyer du mois de janvier 2016.</w:t>
      </w:r>
    </w:p>
    <w:p>
      <w:r>
        <w:rPr>
          <w:b/>
        </w:rPr>
        <w:t>E. 3.2.1</w:t>
      </w:r>
    </w:p>
    <w:p>
      <w:r>
        <w:t>Aux termes de l'art. 257d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le bailleur peut résilier le contrat avec effet immédiat ; les baux d'habitation ou de locaux commerciaux peuvent être résiliés moyennant un délai de congé minimum de trente jours pour la fin du mois (al. 2).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4A_641/2011 du 27 janvier 2012 consid. 5 ; TF 4C.123/2000 du 14 juin 2000 consid. 3b, in Cahiers du Bail [CdB] 2000 p. 109 ; Wessner, Droit du bail à loyer, Zurich 2010, n. 17 ad art. 257d CO ; Lachat, Le bail à loyer, 2 e éd., 2008, p. 666 ; Burkhalter/Martinez-Favre, Le droit suisse du bail à loyer, commentaire SVIT, Zurich 2011, n. 26 ad art. 257d CO). Lorsque la sommation mentionne, sans plus de renseignements, un montant sans rapport avec la somme effectivement due à titre de loyer et de charges, la mise en demeure ne satisfait pas aux exigences de clarté et de précision (TF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4A_306/2015 du 14 octobre 2015 consid. 2 et les réf. citées).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A cet égard,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4C_74/2006 du 12 mai 2006 consid. 3.2.1 ;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les réf. citées). Cette jurisprudence garde sa pertinence sous l'empire du CPC (CACI 12 août 2011/194 ; CACI 27 juillet 2011/175). Le Tribunal fédéral admet la validité d'une résiliation que le bailleur envoie avant l'échéance, si le locataire ne la reçoit qu'après, n'a pas exécuté le paiement et n'a pas été détourné de l'exécuter par le comportement du bailleur (arrêts 4A_451/2011 du 29 novembre 2011 consid. 4.2 ; 4A_585/2010 du 2 février 2011 consid. 3.5). Le Tribunal fédéral a d'ailleurs aussi admis la validité d'une résiliation que le locataire avait reçue le dernier jour du délai (arrêt 4C.124/2005 du 26 juillet 2005 consid. 3.3 ; TF 4A_668/2012 du 11 mars 2013 consid. 3).</w:t>
      </w:r>
    </w:p>
    <w:p>
      <w:r>
        <w:rPr>
          <w:b/>
        </w:rPr>
        <w:t>E. 3.2.2</w:t>
      </w:r>
    </w:p>
    <w:p>
      <w:r>
        <w:t>La requête d'expulsion en cas clair est recevable même lorsque le locataire a contesté la validité du congé et que la procédure en contestation est encore pendante. Le juge saisi en cas clair peut statuer à titre préjudiciel sur la validité du congé, sans qu'il doive surseoir à statuer jusqu'à droit connu sur la procédure en contestation de la validité du congé (ATF 141 III 262 consid. 3).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w:t>
      </w:r>
    </w:p>
    <w:p>
      <w:r>
        <w:rPr>
          <w:b/>
        </w:rPr>
        <w:t>E. 3.3</w:t>
      </w:r>
    </w:p>
    <w:p>
      <w:r>
        <w:t>En l'espèce, il est incontestable que les loyers de décembre 2015 et janvier 2016 étaient impayés et exigibles lors de l'envoi de l'avis comminatoire. Cet avis précisait expressément et sans aucune ambiguïté qu'il se rapportait aux loyers impayés de « Décembre 2015, janvier 2016 Fr. 8’500.00 », et qu'à défaut de paiement dans les trente jours du montant total de 8’500 fr., le bail pouvait être résilié. A réception de cet avis, l'appelante ne pouvait avoir le moindre doute au sujet du bien-fondé et de l'exigibilité de cette créance en faveur de l'intimée. Elle ne pouvait au demeurant ignorer la dette qu'elle devait en tout état de cause payer. Or, le montant total de l'arriéré n'a pas été payé dans le délai imparti et l'appelante ne le conteste d'ailleurs pas. La bailleresse était donc fondée à résilier le bail. Au demeurant, comme l'a relevé le premier juge, le Tribunal fédéral admet la validité d'une résiliation que le bailleur envoie avant l'échéance, comme c'est le cas en l'espèce (cf. TF 4A_668/2012 du 11 mars 2013 consid. 3). Dès lors, au vu de ce qui précède, c'est à juste titre que le premier juge a considéré que la procédure de cas clair était applicable au cas d'espèce.</w:t>
      </w:r>
    </w:p>
    <w:p>
      <w:r>
        <w:rPr>
          <w:b/>
        </w:rPr>
        <w:t>E. 4.1</w:t>
      </w:r>
    </w:p>
    <w:p>
      <w:r>
        <w:t>L’appelante se prévaut également d’un courrier de W.________SA du 28 septembre 2015, selon lequel l’intimée allait consentir une baisse de loyer de 150 fr. par mois en raison de la perte de surface des sous-sols exploités par l’appelante. Cette dernière fait valoir qu’elle était en droit de s’attendre à une diminution de loyer de 2'125 fr. en relation avec la perte totale des sous-sols durant les mois de décembre 2015 et janvier 2016, ainsi qu’à une diminution de loyer de 473 fr. par mois à raison de la perte imposée de son espace bureau dont la surface représentait 20 m 2 .</w:t>
      </w:r>
    </w:p>
    <w:p>
      <w:r>
        <w:rPr>
          <w:b/>
        </w:rPr>
        <w:t>E. 4.2</w:t>
      </w:r>
    </w:p>
    <w:p>
      <w:r>
        <w:t>L’appelante ne peut rien déduire en sa faveur de ce courrier qui ne fait qu’énoncer des propositions transactionnelles en vue de la signature d’un avenant qui n’est jamais intervenu. Pour le surplus, aucun élément du dossier ne permet de retenir que l’appelante a effectivement subi du fait de la bailleresse des réductions de surfaces utilisables, encore moins de l’ampleur alléguée et qu’elle aurait dû s’attendre à des réductions de son loyer. En tout état de cause, il aurait incombé à l’appelante de faire valoir la compensation pendant le délai comminatoire si elle estimait avoir droit à une réduction de loyer en raison de pertes prétendues de surfaces d’exploitation (cf. TF 4A_140/2014 du</w:t>
      </w:r>
    </w:p>
    <w:p>
      <w:r>
        <w:rPr>
          <w:b/>
        </w:rPr>
        <w:t>E. 6</w:t>
      </w:r>
    </w:p>
    <w:p>
      <w:r>
        <w:t>Il s'ensuit que l'appel doit être rejeté selon le mode procédural de l'art. 312 al. 1 CPC et l'ordonnance entreprise confirmée. La cause sera renvoyée à la Juge de paix du district de Lausanne pour qu'elle fixe à la locataire, une fois les considérants écrits du présent arrêt envoyés aux parties pour notification, un nouveau délai pour libérer les locaux qu'elle occupe dans l'immeuble sis [...]. Les frais judiciaires de deuxième instance, arrêtés à 400 fr. (art. 62 al. 3 et 69 al. 1 TFJC [tarif des frais judiciaires en matière civile du 28 septembre 2010 ; RSV 270.11.5]), seront mis à la charge de l’appelante, qui succombe (art. 106 al. 1 et 3 CPC). Il ne sera pas alloué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