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663 vom 8. Juli 2016</w:t>
      </w:r>
    </w:p>
    <w:p>
      <w:r>
        <w:t>VD Tribunal cantonal, 2016-07-08, FR</w:t>
      </w:r>
    </w:p>
    <w:p>
      <w:r>
        <w:rPr>
          <w:b/>
        </w:rPr>
        <w:t xml:space="preserve">Quelle: </w:t>
      </w:r>
      <w:r>
        <w:t>https://mcp.opencaselaw.ch/entscheid/vd_findinfo_HC___2016___663</w:t>
      </w:r>
    </w:p>
    <w:p>
      <w:r>
        <w:t>FR: VD_FINDINFO HC / 2016 / 663 du 8 juillet 2016</w:t>
      </w:r>
    </w:p>
    <w:p>
      <w:r>
        <w:t>IT: VD_FINDINFO HC / 2016 / 663 del 8 luglio 2016</w:t>
      </w:r>
    </w:p>
    <w:p>
      <w:pPr>
        <w:pStyle w:val="Heading2"/>
      </w:pPr>
      <w:r>
        <w:t>Regeste</w:t>
      </w:r>
    </w:p>
    <w:p>
      <w:r>
        <w:t>MOTIF DU RECOURS, APPRÉCIATION DES PREUVES, CHOSE JUGÉE | 267 al. 1 CO, 271 al. 1 CO, 272 CO, 97 CO, 311 al. 1 CPC (CH), 317 al. 1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let. a CPC) et la valeur litigieuse au dernier état des conclusions étant supérieure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 TF 5A 396/2013 du 26 février 2014 consid. 5.3.1).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 Le défaut de motivation affecte l'appel de façon irréparable (art. 311 al. 1 CPC ; parmi de nombreux arrêts, CACI 18 septembre 2013/459 et 4 octobre 2013/525). Le CPC ne prévoit pas la fixation d'un délai de rectification lorsque le mémoire de recours ne satisfait pas aux exigences de motivation et ne permet pas de compléter ou d'améliorer une motivation insuffisante, cela quand bien même le mémoire émane d'une personne sans formation juridique (TF 5A_488/2015 du 21 août 2015).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et SJ 2012 I 231).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l'instance d'appel applique le droit d'office, elle le fait uniquement sur les points du jugement qui ont fait l'objet d'une motivation suffisante et, partant, recevable et non sur les points insuffisamment motivés (TF 4A_290/2014 du 1 er septembre 2014 consid. 5). Si l'appel ne contient strictement aucune explication destinée à justifier une des prétentions faisant l'objet des conclusions, il est irrecevable sur ce point, sans que l'appelant puisse se prévaloir de l'art. 132 ou de l'art. 56 CPC ; peu importe, dans ce contexte, que le litige relève de la procédure simplifiée régie par la maxime inquisitoire (TF 4A_463/2014 du 23 janvier 2015 consid. 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En l’espèce, l'appelante ne conteste pas expressément l'état de fait du jugement. Elle se contente d’alléguer à nouveau certains faits. Comme développé ci-après (cf. infra, consid. 3), un tel procédé ne respecte pas les exigences de motivation découlant de l'art. 311 al. 1 CPC. S'agissant des pièces produites à l’appui de l’appel, seule la pièce n° 23 est recevable. L'appelante n'expose pas de manière cohérente en quoi les pièces n os 24 à 26 n'auraient pas pu être produites en première instance et constitueraient des moyens de preuve adéquats au sens de l'art. 152 CPC, de sorte qu'il n'en sera pas tenu compte. Quant aux pièces n os 27 à 29, elles respectent les conditions posées par l'art. 317 CPC, mais ne sont pas non plus pertinentes (cf. infra, consid. 3.3). On relève que l’appelante a pris des conclusions formelles (V et VI) portant sur la production de ces pièces, qui doivent être interprétées comme de simples réquisitions.</w:t>
      </w:r>
    </w:p>
    <w:p>
      <w:r>
        <w:rPr>
          <w:b/>
        </w:rPr>
        <w:t>E. 3</w:t>
      </w:r>
    </w:p>
    <w:p>
      <w:r>
        <w:t>L'appelante a pris de nombreuses conclusions et il n'est pas aisé de trouver la motivation relative à chacune d'entre elles, l'argumentation étant de surcroît prolixe et désordonnée. Néanmoins, il convient d’entrer en matière sur ces moyens, dans la mesure de leur recevabilité.</w:t>
      </w:r>
    </w:p>
    <w:p>
      <w:r>
        <w:rPr>
          <w:b/>
        </w:rPr>
        <w:t>E. 3.1</w:t>
      </w:r>
    </w:p>
    <w:p>
      <w:r>
        <w:t>En ce qui concerne la conclusion XIII, l'appelante soutient qu'il y aurait lieu de revenir sur le jugement préjudiciel du 23 janvier 2014, notamment en raison du fait que l'avocate adverse aurait produit en deuxième instance une pièce nouvelle en faisant croire à l'autorité d'appel qu'elle figurait déjà au dossier. Cette argumentation doit être écartée dès lors que la présente procédure d'appel porte uniquement sur le jugement du 22 septembre 2015, la question de la validité formelle du congé ayant été définitivement tranchée par la CACI dans son arrêt du 13 février 2015. Toujours concernant le congé, l’appelante semble également soulever un autre moyen portant sur les déclarations des témoins, soit du sous-locataire et de la concierge. L'appelante relativise les déclarations de son sous-locataire sur son implication dans le présent litige, retenue par les premiers juges, et elle requiert le retranchement de la déposition du deuxième témoin en invoquant un manque d'impartialité. Là également, le moyen de l'appelante doit être rejeté puisqu’elle ne met en avant aucun élément concret justifiant de s'écarter de l'appréciation des premiers juges. S'agissant en particulier de la concierge, le simple fait que celle-ci soit employée de la partie bailleresse ne suffit pas en soi à enlever toute valeur probante à ses déclarations, la marge d'appréciation des premiers juges étant à cet égard importante. L'appelante est d'ailleurs pour le moins malvenue à remettre en cause les dépositions des témoins, alors qu'elle a fait défaut à cette audience – bien que régulièrement convoquée par citation à comparaître notifiée le 25 juin 2015 – et qu'il lui incombait de veiller à ce que toutes les déclarations pertinentes fussent consignées au procès-verbal (TF 4A_238/2015 du 22 septembre 2015 consid. 2.3). C'est donc à bon droit que le tribunal a retenu que l'appelante n'avait jamais réintégré l'appartement litigieux et qu'elle avait continué à le sous-louer après la fin de la période d'une année, échéant le 15 octobre 2011, pour laquelle l'intimée avait accordé son autorisation. Mis à part ces deux points, l'appelante ne conteste pas le raisonnement suivi par les premiers juges pour admettre la validité matérielle du congé. Partant, il y a lieu de confirmer l’appréciation convaincante des premiers juges à cet égard, par adoption de motifs (cf. jugement, consid. 9, pp. 6 ss). De même, les développements pertinents des premiers juges fondant le refus de toute prolongation de bail doivent être confirmés (cf. jugement, consid. 10, pp. 11 s.).</w:t>
      </w:r>
    </w:p>
    <w:p>
      <w:r>
        <w:rPr>
          <w:b/>
        </w:rPr>
        <w:t>E. 3.2</w:t>
      </w:r>
    </w:p>
    <w:p>
      <w:r>
        <w:t>S’agissant de l'indemnité pour occupation illicite allouée à l'intimé dès le 1 er octobre 2012 – qui semble faire l’objet des conclusions IV et XIII de l’appel –, l'appelante ne conteste pas devoir un montant mensuel de 600 fr. à ce titre et remet en cause uniquement le montant supplémentaire de 237 francs. Sur ce point, les premiers juges ont considéré que le loyer mensuel net de l'appartement litigieux, qui s'élevait initialement à 600 fr., avait été augmenté dès le 1 er octobre 2012 à 837 fr., l'appelante n'ayant pas contesté en temps utile cette hausse à l'époque. Ils ont précisé que l'appelante avait certes par la suite contesté la validité de cette majoration de loyer, mais que celle-ci avait été confirmée le 19 juin 2014 par ordonnance de la Juge de paix du district de Lausanne, qui n'avait pas été réformée par une quelconque autorité supérieure. L'appelante soutient, de manière fort peu compréhensible, que cette hausse serait nulle et que l'intimé se serait livré à des procédés déloyaux en première instance en vue d'éviter une authentification de l'enveloppe ayant contenu la formule officielle notifiée par la gérance. Toutefois, elle n'expose pas de manière précise en quoi l'appréciation des premiers juges serait erronée sur ce point. En particulier, elle ne s'exprime nullement sur l’ordonnance du 19 juin 2014, qui figure pourtant au dossier, et ne soulève aucun moyen propre à démontrer que cette décision n'aurait pas force de chose jugée. Il n'y a donc pas lieu de s'écarter du point de vue exprimé par les premiers juges, qui se révèle convaincant. Du reste, l’ordonnance du 19 juin 2014 a été confirmée par arrêt de la Cour d’appel civile du 31 octobre 2014/569 et le Tribunal fédéral n’est pas entré en matière sur le recours formé le 30 novembre 2014 par l’appelante (TF 4A_3/2015 du 9 février 2015). Cela étant, ce moyen étant également infondé, les conclusions XI et XIII de l’appel doivent être rejetées.</w:t>
      </w:r>
    </w:p>
    <w:p>
      <w:r>
        <w:rPr>
          <w:b/>
        </w:rPr>
        <w:t>E. 3.3</w:t>
      </w:r>
    </w:p>
    <w:p>
      <w:r>
        <w:t>Sous chiffres VIII à XII, l'appelante conclut à ce que la partie adverse soit condamnée à lui rembourser différents montants qu'elle a été contrainte de supporter à titre de frais de justice et de poursuites, ainsi que de dépens dans le cadre des autres procédures l'ayant opposée à l'intimé. Ces conclusions sont nouvelles par rapport à celles articulées en première instance et leur recevabilité est douteuse au regard de l'art. 317 CPC. Cette question peut cependant rester ouverte car, de toute manière, l'appelante n'allègue aucune circonstance de fait et aucun moyen juridique susceptible de fonder un quelconque remboursement des montants en question, celle-ci se contentant d'alléguer une « tromperie dolosive » de l'intimé.</w:t>
      </w:r>
    </w:p>
    <w:p>
      <w:r>
        <w:rPr>
          <w:b/>
        </w:rPr>
        <w:t>E. 3.4</w:t>
      </w:r>
    </w:p>
    <w:p>
      <w:r>
        <w:t>Quant aux conclusions I à III, elles tendent à l'admission de principe du « recours » et à l'octroi de l'assistance judiciaire et de l'effet suspensif. La première ne pourra qu'être rejetée au vu de ce qui précède, dans la mesure où l'appel est recevable. S'agissant de l'assistance judiciaire, force est de constater que l'appel était d'emblée dénué de chances de succès, de sorte que la conclusion en ce sens devra également être rejetée. Pour ce qui concerne l'effet suspensif, la conclusion y relative est en réalité une réquisition dénuée d'objet dès lors que l'appel a un effet suspensif de par la loi (art. 315 al. 1 CPC), ce dont l'appelante a déjà été informée par le juge délégué.</w:t>
      </w:r>
    </w:p>
    <w:p>
      <w:r>
        <w:rPr>
          <w:b/>
        </w:rPr>
        <w:t>E. 3.5</w:t>
      </w:r>
    </w:p>
    <w:p>
      <w:r>
        <w:t>Enfin, comme exposé ci-avant, les conclusions V à VII doivent être considérées comme des réquisitions, sur lesquels l'autorité d'appel s'est déjà prononcée dans le cadre de son examen de la recevabilité des pièces n os 24 à 29 (cf. supra, consid. 2.3) et de son appréciation du témoignage de la concierge (cf. supra, consid. 3.1).</w:t>
      </w:r>
    </w:p>
    <w:p>
      <w:r>
        <w:rPr>
          <w:b/>
        </w:rPr>
        <w:t>E. 4</w:t>
      </w:r>
    </w:p>
    <w:p>
      <w:r>
        <w:t>Il s’ensuit que l’appel, manifestement infondé, doit être rejeté selon le mode procédural de l’art. 312 al. 1 CPC, dans la mesure de sa recevabilité, et le jugement entrepris confirmé. L’appel ayant été d’emblée dénué de chances de succès, la requête d’assistance judiciaire de l’appelante doit être rejetée. Les frais judiciaires de deuxième instance, arrêtés à 1’333 fr. (art. 62 al. 1 TFJC [Tarif des frais judiciaires civils du 28 septembre 2010 ; RSV 270.11.5]), seront mis à la charge de l’appelante V.________,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