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658 vom 14. Juli 2016</w:t>
      </w:r>
    </w:p>
    <w:p>
      <w:r>
        <w:t>VD Tribunal cantonal, 2016-07-14, FR</w:t>
      </w:r>
    </w:p>
    <w:p>
      <w:r>
        <w:rPr>
          <w:b/>
        </w:rPr>
        <w:t xml:space="preserve">Quelle: </w:t>
      </w:r>
      <w:r>
        <w:t>https://mcp.opencaselaw.ch/entscheid/vd_findinfo_HC___2016___658</w:t>
      </w:r>
    </w:p>
    <w:p>
      <w:r>
        <w:t>FR: VD_FINDINFO HC / 2016 / 658 du 14 juillet 2016</w:t>
      </w:r>
    </w:p>
    <w:p>
      <w:r>
        <w:t>IT: VD_FINDINFO HC / 2016 / 658 del 14 luglio 2016</w:t>
      </w:r>
    </w:p>
    <w:p>
      <w:pPr>
        <w:pStyle w:val="Heading2"/>
      </w:pPr>
      <w:r>
        <w:t>Regeste</w:t>
      </w:r>
    </w:p>
    <w:p>
      <w:r>
        <w:t>OBLIGATION D'ENTRETIEN, GARDERIE, FRAIS{EN GÉNÉRAL}, NOUVEAU MOYEN DE FAIT | 176 al. 1 ch. 1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w:t>
      </w:r>
    </w:p>
    <w:p>
      <w:r>
        <w:rPr>
          <w:b/>
        </w:rPr>
        <w:t>E. 2</w:t>
      </w:r>
    </w:p>
    <w:p>
      <w:r>
        <w:t>et les références).</w:t>
      </w:r>
    </w:p>
    <w:p>
      <w:r>
        <w:rPr>
          <w:b/>
        </w:rPr>
        <w:t>E. 3.1</w:t>
      </w:r>
    </w:p>
    <w:p>
      <w:r>
        <w:t>A l’appui de son appel, l’appelant a produit quatre pièces, à savoir les factures de garderie de l’enfant X.________ pour les mois de décembre 2015, janvier 2016, février 2016 et mars 2016. Selon lui, ces factures laisseraient apparaître que les frais de garderie, retenus à hauteur de 1'460 fr. par le premier juge, s’élèveraient en réalité à 655 fr. par mois, ce qui justifierait une réduction de la contribution d’entretien à 700 fr. par mois.</w:t>
      </w:r>
    </w:p>
    <w:p>
      <w:r>
        <w:rPr>
          <w:b/>
        </w:rPr>
        <w:t>E. 3.2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JdT 2010 III 115,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références citées). La jurisprudence vaudoise (JdT 2011 III 43 ; RSPC 2011, p. 320, note approbatrice de Tappy) considère qu'en appel les novas sont soumis au régime ordinaire, même dans les causes soumises à la maxime inquisitoire (en ce sens Tappy, op. cit., JdT 2010 III 115 ; Hohl, Procédure civile, Tome II, 2 e éd.,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3.3</w:t>
      </w:r>
    </w:p>
    <w:p>
      <w:r>
        <w:t>En l’espèce, les factures de décembre 2015, janvier 2016 et février 2016, datées respectivement du 21 décembre 2015, 11 février 2016 et 10 mars 2016, sont antérieures à l’audience de première instance du 1 er avril 2016, contrairement à la facture de mars 2016, datée du 11 avril 2016, qui est postérieure à l’audience. S’agissant des trois premières factures, antérieures à l’audience de première instance, il incombe à l’appelant de prouver qu’il ne pouvait les produire devant la première instance, bien qu’il ait fait preuve de la diligence requise. A cet égard, l’appelant expose dans son mémoire que « les factures en question sont certes adressées à l’appelant, mais elles sont parvenues à [...] [ndr : appartement conjugal] et l’intimée s’est bien gardée de les montrer à son mari. C’est après avoir pris connaissance de l’ordonnance de mesures protectrices que l’appelant s’est rendu à la garderie et a pu obtenir une copie des factures en question ». Cette explication ne convainc pas. D’une part, la facture du 21 décembre 2015 est antérieure à la séparation des époux, puisqu’il est établi que l’appelant a quitté le domicile conjugal le 15 janvier 2016. L’appelant devait donc en avoir connaissance. De plus, l’appelant n’explique pas pourquoi il ne s’est enquis auprès de la garderie de toutes les factures en question qu’après avoir pris connaissance de l’ordonnance entreprise. L’appelant savait que sa fille allait à la garderie et que cela engendrait des frais. Les factures étaient adressées à son nom. Il lui incombait de faire le nécessaire pour obtenir toute pièce pertinente ou à tout le moins solliciter des explications à la partie adverse avant l’audience de première instance. Il n’a ainsi pas fait preuve de la diligence requise. Quant à la facture du 11 avril 2016, elle est certes postérieure à l’audience de première instance du 1 er avril 2016. Elle concerne toutefois un élément de fait, à savoir le montant des frais de garderie, qui existait déjà antérieurement à cette audience et qui ressort déjà des trois pièces susmentionnées, antérieures à l’audience de première instance, et dont il a été retenu qu’elles ont été produites tardivement. En faisant preuve de la diligence requise, l’appelant aurait pu alléguer et établir les frais de garderie en première instance déjà. Partant, les quatre pièces produites en deuxième instance doivent être déclarées irrecevables, l’appelant n’ayant pas démontré avoir satisfait aux exigences de l’art. 317 al. 1 CPC. Au vu de ce qui précède, le grief de l’appelant tiré du calcul erroné des frais de garderie, qui repose sur des pièces qui ne peuvent pas être prises en compte, se révèle mal fondé.</w:t>
      </w:r>
    </w:p>
    <w:p>
      <w:r>
        <w:rPr>
          <w:b/>
        </w:rPr>
        <w:t>E. 4.1</w:t>
      </w:r>
    </w:p>
    <w:p>
      <w:r>
        <w:t>L’appelant reproche ensuite au premier juge d’avoir déclaré la contribution d’entretien exigible à compter du 1 er janvier 2016, alors que la séparation effective des parties ne daterait que du 15 janvier 2016.</w:t>
      </w:r>
    </w:p>
    <w:p>
      <w:r>
        <w:rPr>
          <w:b/>
        </w:rPr>
        <w:t>E. 4.2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5A_458/2014 du 8 septembre 2014 consid. 4.1.2). L’effet rétroactif vise à ne pas forcer l’ayant droit à se précipiter chez le juge, mais à lui laisser un certain temps pour convenir d’un accord à l’amiable (ATF 115 II 201 consid. 4a ; TF 5A_897/2012 du 6 février 2013 consid. 5.4.4.3). Il ne se justifie que si l’entretien dû n’a pas été assumé en nature ou en espèces ou dès qu’il a cessé de l’être (TF 5A_591/2011 du 7 décembre 2011 consid. 5.2).</w:t>
      </w:r>
    </w:p>
    <w:p>
      <w:r>
        <w:rPr>
          <w:b/>
        </w:rPr>
        <w:t>E. 4.3</w:t>
      </w:r>
    </w:p>
    <w:p>
      <w:r>
        <w:t>En l’espèce, l’ordonnance déclare la contribution d’entretien due à compter du 1 er janvier 2016. La requête de mesures protectrices de l’union conjugale de l’intimée date du 22 janvier 2016 et à l’audience du 1 er avril 2016, celle-ci a précisé ses conclusions notamment en ce sens que la contribution était requise « dès et y compris le mois de janvier 2016 ». La séparation effective est intervenue le 15 janvier 2016. Il convient donc de déterminer si l’entretien a été assumé pour la première quinzaine de janvier 2016. A l’appui de son appel, l’appelant se contente d’exposer que la séparation est effective depuis le 15 janvier 2016, sans alléguer ni établir que l’entretien aurait été assumé du 1 er au 15 janvier 2016. Or, il découle de l’état de fait et des pièces au dossier que ce ne serait pas le cas, puisque l’appelant a lui-même indiqué ne pas avoir été au courant des factures, notamment de garderie. Dans de telles circonstances, il est justifié de faire partir la contribution d’entretien le premier du mois où intervient la séparation, sans prendre en compte la date exacte de la séparation. Ce grief est mal fondé.</w:t>
      </w:r>
    </w:p>
    <w:p>
      <w:r>
        <w:rPr>
          <w:b/>
        </w:rPr>
        <w:t>E. 5</w:t>
      </w:r>
    </w:p>
    <w:p>
      <w:r>
        <w:t>Il découle des considérants qui précèdent que l’appel doit être rejeté et l’ordonnance entreprise confirmée. L’appel n’était pas dépourvu de toute chance de succès (art. 117 let. b CPC) et la condition de l’indigence (art. 117 let. a CPC) est réalisée. Par conséquent, la requête d’assistance judiciaire de l’appelant doit être admise et Me Jean Lob désigné en qualité de conseil d’office. La requête d’assistance judiciaire de l’intimée doit également être admise et Me Isabelle Jaques désignée en qualité de conseil d’office. L’assistance judiciaire pouvant être accordée totalement ou partiellement (art. 118 al. 2 CPC), il est possible d’exiger de la partie requérante qui est en mesure de le faire une franchise mensuelle à titre de participation aux frais de procès. En l’espèce, au vu de leur situation financière respective, tant l’appelant que l’intimée seront astreints à payer un montant de 50 fr. à titre de franchise mensuelle dès le 1 er août 2016. Les frais judiciaires de deuxième instance, arrêtés à 600 fr. (art. 65 al. 2 TFJC [tarif des frais judiciaires civils du 28 septembre 2010 ; RSV 270.11.5]) doivent être provisoirement laissés à la charge de l’Etat (art. 106 al. 1 et 122 al. 1 let. b CPC). Le 13 juillet 2016, le conseil d’office de l’appelant a déposé une liste des opérations pour la période du 18 avril 2016 au 13 juillet 2016, dans laquelle il a énuméré la date et la nature des différentes opérations entreprises, sans détailler le temps consacré à chacune d’entre elles, et a estimé le temps total consacré à la procédure d’appel à sept heures de travail et les débours à 20 francs. Au vu de la faible complexité du litige, qui se limitait principalement à la question des frais de garderie, et étant entendu que le mémoire d’appel ne comprenait que quatre pages, page de garde et conclusions comprises, le temps allégué paraît surévalué. Il n’y a en outre pas lieu de prendre en compte le poste "établissement d’une liste des opérations", lequel constitue une opération de clôture du dossier qui n'a pas à figurer dans une liste d'assistance judiciaire (CREC 3 septembre 2014/312 et réf.). Partant, il convient de réduire le temps de travail allégué à cinq heures. Il s’ensuit qu’au tarif horaire de 180 fr. (art. 2 al. 1 let. a RAJ [règlement sur l’assistance judiciaire en matière civile du 7 décembre 2010 ; RSV 211.02.3]), l’indemnité s’élève à 900 fr., montant auquel s’ajoutent les débours par 20 fr. et la TVA de 8 % sur le tout, ce qui porte l’indemnité d’office de Me Jean Lob à 993 fr. 60. Le 13 juillet 2016, le conseil d’office de l’intimée a déposé une liste d’opérations pour la période du 2 mai 2016 au 12 juillet 2016, laquelle fait état d’un total de 3.67 heures de travail, en détaillant le temps consacré à chaque opération, et de débours à hauteur d’un franc. Au vu de la nature et de la difficulté de la cause, le temps allégué paraît approprié. Il s’ensuit qu’au tarif horaire de 180 fr. (art. 2 al. 1 let. a RAJ [règlement sur l’assistance judiciaire en matière civile du 7 décembre 2010 ; RSV 211.02.3]), l’indemnité s’élève à 660 fr. 60, montant auquel s’ajoutent les débours par 1 fr. et la TVA de 8 % sur le tout, ce qui porte l’indemnité d’office de Me Isabelle Jaques à 714 fr. 55. L’appelant, qui succombe, versera à l’intimée la somme de 800 fr. à titre de dépens de deuxième instance (art. 122 al. 1 let. d CPC et 7 al. 1 TDC [tarif des dépens en matière civile du 23 novembre 2010 ; RSV 270.11.6]). Conformément à l’art. 122 al. 2 CPC, le conseil d’office de l’intimée ne percevra l’indemnité d’office que dans la mesure où les dépens ne peuvent être obtenus de l’appelant. Les bénéficiaires de l’assistance judiciaire sont, dans la mesure de l’art. 123 CPC, tenus au remboursement des frais judiciaires et de l’indemnité à leur conseil d’office mis à la charge de l’Etat. Par ces motifs, la juge déléguée de la Cour d’appel civile prononce : I. L’appel est rejeté. II. L’ordonnance est confirmée. III. La requête d’assistance judiciaire de D.________ est admise et Me Jean Lob est désigné en qualité de conseil d’office, D.________ étant astreint à payer un montant de 50 fr. à titre de franchise mensuelle dès et y compris le 1 er août 2016, à verser auprès du Service juridique et législatif. IV. La requête d’assistance judiciaire de F.________ est admise et Me Isabelle Jaques est désignée en qualité de conseil d’office, F.________ étant astreinte à payer un montant de 50 fr. à titre de franchise mensuelle dès et y compris le 1 er août 2016, à verser auprès du Service juridique et législatif. V. Les frais judiciaires de deuxième instance, arrêtés à 600 fr. (six cents francs), sont provisoirement laissés à la charge de l’Etat. VI. L’indemnité d’office de Me Jean Lob, conseil de l’appelant D.________, est arrêtée à 993 fr. 60 (neuf cent nonante-trois francs et soixante centimes), TVA et débours compris. VII. L’appelant D.________ doit verser à l’intimée F.________ la somme de 800 fr. (huit cents francs) à titre de dépens de deuxième instance. VIII. L’indemnité d’office de Me Isabelle Jaques, conseil de l’intimée F.________, est arrêtée à 714 fr. 55 (sept cent quatorze francs et cinquante-cinq centimes) TVA et débours compris. IX. Les bénéficiaires de l'assistance judiciaire sont, dans la mesure de l'art. 123 CPC, tenus au remboursement des frais judiciaires et de l'indemnité à leur conseil d'office mis à la charge de l'Etat. X. L’arrêt est exécutoire. La juge déléguée : Le greffier : Du Le présent arrêt, dont la rédaction a été approuvée à huis clos, est notifié en expédition complète à : ‑ Me Jean Lob (pour D.________), ‑ Me Isabelle Jaques (pour F.________), et communiqué, par l'envoi de photocopies, à : ‑ Monsieur le Président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