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651 vom 17. Juni 2016</w:t>
      </w:r>
    </w:p>
    <w:p>
      <w:r>
        <w:t>VD Tribunal cantonal, 2016-06-17, FR</w:t>
      </w:r>
    </w:p>
    <w:p>
      <w:r>
        <w:rPr>
          <w:b/>
        </w:rPr>
        <w:t xml:space="preserve">Quelle: </w:t>
      </w:r>
      <w:r>
        <w:t>https://mcp.opencaselaw.ch/entscheid/vd_findinfo_HC___2016___651</w:t>
      </w:r>
    </w:p>
    <w:p>
      <w:r>
        <w:t>FR: VD_FINDINFO HC / 2016 / 651 du 17 juin 2016</w:t>
      </w:r>
    </w:p>
    <w:p>
      <w:r>
        <w:t>IT: VD_FINDINFO HC / 2016 / 651 del 17 giugno 2016</w:t>
      </w:r>
    </w:p>
    <w:p>
      <w:pPr>
        <w:pStyle w:val="Heading2"/>
      </w:pPr>
      <w:r>
        <w:t>Regeste</w:t>
      </w:r>
    </w:p>
    <w:p>
      <w:r>
        <w:t>PROCÉDURE DE CONCILIATION, COMPARUTION PERSONNELLE, AMENDE | 128 al. 1 CPC (CH), 197 CPC (CH)</w:t>
      </w:r>
    </w:p>
    <w:p>
      <w:pPr>
        <w:pStyle w:val="Heading2"/>
      </w:pPr>
      <w:r>
        <w:t>Erwägungen</w:t>
      </w:r>
    </w:p>
    <w:p>
      <w:r>
        <w:rPr>
          <w:b/>
        </w:rPr>
        <w:t>E. 1</w:t>
      </w:r>
    </w:p>
    <w:p>
      <w:r>
        <w:t>La voie du recours est ouverte contre les amendes disciplinaires (art. 128 al. 4 CPC). Le recours, écrit et motivé, est introduit auprès de l’instance de recours, en l’occurrence la Chambre des recours civile (art. 73 al. 1 LOJV [loi d’organisation judiciaire du 12 décembre 1979 ; RSV 173.01]) dans les 30 jours à compter de la notification de la décision motivée ou de la notification postérieure de la motivation (art. 321 al. 1 CPC). Le délai est de dix jours pour les décisions prises en procédure sommaire (art. 321 al. 2 CPC). En l’espèce, déposé en temps utile auprès de l’autorité compétente par une partie qui y a un intérêt digne de protection (art. 59 al. 2 let. a CPC), le recours est recevable.</w:t>
      </w:r>
    </w:p>
    <w:p>
      <w:r>
        <w:rPr>
          <w:b/>
        </w:rPr>
        <w:t>E. 2</w:t>
      </w:r>
    </w:p>
    <w:p>
      <w:r>
        <w:t>Les conclusions, les allégations de faits et les preuves nouvelles sont irrecevables (art. 326 al. 1 CPC). Par conséquent, les pièces produites par le recourant qui n’ont pas déjà été produites dans le cadre de la procédure de première instance sont irrecevables.</w:t>
      </w:r>
    </w:p>
    <w:p>
      <w:r>
        <w:rPr>
          <w:b/>
        </w:rPr>
        <w:t>E. 3.1</w:t>
      </w:r>
    </w:p>
    <w:p>
      <w:r>
        <w:t>Le recourant reproche, en substance, au premier juge la violation de l'art. 128 al. 1 CPC, dès lors que selon l'ATF 141 Ill 265 auquel il se réfère, un simple motif - et non pas un juste motif - suffirait pour faire défaut sans que cela ne soit punissable au sens de l'art. 128 CPC.</w:t>
      </w:r>
    </w:p>
    <w:p>
      <w:r>
        <w:rPr>
          <w:b/>
        </w:rPr>
        <w:t>E. 3.2</w:t>
      </w:r>
    </w:p>
    <w:p>
      <w:r>
        <w:t>L'art. 128 CPC, intitulé « Discipline en procédure et procédés téméraires », prévoit à son alinéa 1 que quiconque, au cours de la procédure devant le tribunal, enfreint les convenances ou perturbe le déroulement de la procédure est puni d'un blâme ou d'une amende disciplinaire de 1’000 fr. au plus. Il est précisé que le tribunal peut, en outre, ordonner l'expulsion de la personne concernée de l'audience.</w:t>
      </w:r>
    </w:p>
    <w:p>
      <w:r>
        <w:rPr>
          <w:b/>
        </w:rPr>
        <w:t>E. 3.3</w:t>
      </w:r>
    </w:p>
    <w:p>
      <w:r>
        <w:t>S'il est vrai que l'arrêt précité se rapporte au motif du défaut et non à un motif justifié, il précise cependant également à son consid. 5.1 qu'une sanction disciplinaire fondée sur l'art. 128 CPC suppose une perturbation du déroulement de la procédure selon l'art. 128 al. 1 CPC, respectivement de la mauvaise foi ou un procédé téméraire selon l'art. 128 al. 3 CPC, avant de laisser indécise la question de la réalisation de ces conditions dans la cause examinée, tout en citant l'opinion d'une auteure selon laquelle une amende disciplinaire à la suite de la perturbation de la procédure ne se justifierait qu'exceptionnellement, notamment lorsque la partie qui a requis le report de l'audience ne comparaît ensuite pas sans s'excuser. Il s'ensuit qu'il suffit en principe que l'une des conditions précitées de l'art. 128 al. 1 ou 3 CPC soit réalisée pour qu'une sanction disciplinaire entre en ligne de compte, le motif ayant conduit au défaut n'étant pas déterminant au stade du principe de la sanction à prononcer en application de la disposition précitée, mais pouvant le cas échéant être pris en considération au stade de la quotité de la sanction prononcée (cf. consid.</w:t>
      </w:r>
    </w:p>
    <w:p>
      <w:r>
        <w:rPr>
          <w:b/>
        </w:rPr>
        <w:t>E. 8</w:t>
      </w:r>
    </w:p>
    <w:p>
      <w:r>
        <w:t>Le recourant invoque enfin la violation du principe de la proportionnalité, l'art. 128 al. 1 CPC prévoyant le choix entre le prononcé d'un blâme ou d'une amende de 1’000 fr. au maximum. Il relève que dans l'ATF 141 III 265 l'amende avait été fixée à 200 fr. pour chaque procédure. En l'espèce, le premier juge, qui a fait application de l'art. 128 al. 1 CPC en reprochant au recourant d'avoir inutilement perturbé le bon déroulement de la procédure, a arrêté l'amende à 800 francs. La jurisprudence précitée a, comme on l’a vu, laissé la question des circonstances justifiant une amende disciplinaire ouverte. Dans l'arrêt précité, l'autorité cantonale avait confirmé l'amende arrêtée par la Commission de conciliation à 200 fr. par procédure. Dans deux arrêts parus récemment (TF 4A_124/2016 et TF 4A 126/2016 du 17 mars 2016) concernant des commissions de conciliation en matière de baux, le montant des amendes avait été réduit par les autorités cantonales de 1'000 fr. à 500 fr. par procédure. En l’espèce, compte tenu des circonstances, il se justifie de renoncer au blâme et de confirmer, dans son principe, l'amende disciplinaire, prononcée en application de l'art. 128 al. 1 CPC. S’agissant de la quotité de l’amende, le montant de 800 fr., qui se situe en haut de la fourchette prévue par l’art. 128 al. 1 CPC, arrêté par le premier juge, est trop élevé, compte tenu du fait que l’absence du défendeur à l’audience a été annoncée la veille. La faute reprochée au défendeur n’étant en définitive pas considérée comme grave, le montant de l’amende sera réduit à 300 francs.</w:t>
      </w:r>
    </w:p>
    <w:p>
      <w:r>
        <w:rPr>
          <w:b/>
        </w:rPr>
        <w:t>E. 9</w:t>
      </w:r>
    </w:p>
    <w:p>
      <w:r>
        <w:t>Au vu de ce qui précède, le recours doit être partiellement admis et le prononcé entrepris réformé au chiffre I de son dispositif en ce sens que W.________ est condamné au paiement d’une amende de 300 francs. Les frais judiciaires de deuxième instance, arrêtés à 100 fr. (art. 69 al. 1 TFJC [tarifs des frais judiciaires civils du 28 septembre 2010; RSV 270.11.5]), seront mis à la charge du recourant par 50 fr., le solde étant laissé à la charge de l’Etat. L’intimée n’ayant pas été invitée à se déterminer sur le recours, il n’y a pas matière à l’allocation de dépens. Par ces motifs, la Chambre des recours civile du Tribunal cantonal, prononce : I. Le recours est partiellement admis. II. Le prononcé est réformé comme il suit au chiffre I de son dispositif : I. Condamne W.________ au paiement d’une amende de 300 fr. (trois cents francs). Il est confirmé pour le surplus. III. Les frais judiciaires de deuxième instance, arrêtés à 100 fr. (cent francs), sont mis à la charge du recourant W.________ par 50 fr. (cinquante francs), le solde étant laissé à la charge de l’Etat. IV. L’arrêt motivé est exécutoire. La vice-présidente : La greffière : Du 20 juin 2016 Le dispositif de l'arrêt qui précède est communiqué par écrit aux intéressés. La greffière : Du L'arrêt qui précède, dont la rédaction a été approuvée à huis clos, est notifié en expédition complète, par l'envoi de photocopies, à : ‑ Me Antoine Eigenmann (pour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