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63 vom 21. Dezember 2015</w:t>
      </w:r>
    </w:p>
    <w:p>
      <w:r>
        <w:t>VD Tribunal cantonal, 2015-12-21, FR</w:t>
      </w:r>
    </w:p>
    <w:p>
      <w:r>
        <w:rPr>
          <w:b/>
        </w:rPr>
        <w:t xml:space="preserve">Quelle: </w:t>
      </w:r>
      <w:r>
        <w:t>https://mcp.opencaselaw.ch/entscheid/vd_findinfo_HC___2016___63</w:t>
      </w:r>
    </w:p>
    <w:p>
      <w:r>
        <w:t>FR: VD_FINDINFO HC / 2016 / 63 du 21 décembre 2015</w:t>
      </w:r>
    </w:p>
    <w:p>
      <w:r>
        <w:t>IT: VD_FINDINFO HC / 2016 / 63 del 21 dicembre 2015</w:t>
      </w:r>
    </w:p>
    <w:p>
      <w:pPr>
        <w:pStyle w:val="Heading2"/>
      </w:pPr>
      <w:r>
        <w:t>Regeste</w:t>
      </w:r>
    </w:p>
    <w:p>
      <w:r>
        <w:t>ENFANT, REVENU HYPOTHÉTIQUE, ACTION EN PAIEMENT D'ENTRETIEN, MESURE PROVISIONNELLE | 276 al. 1 CC, 277 al. 2 CC, 285 al. 1 CC, 302 al. 2 CC, 261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126). S'agissant de prestations périodiques, elles doivent être capitalisées suivant la règle posée par l'art. 92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 RSV 173.01]). En l'espèce, formé en temps utile par une partie qui y a intérêt (art. 59 al. 2 let. a CPC) et portant sur des conclusions qui, dans leur dernier état devant le tribunal de première instance et capitalisées selon l'art. 92 al. 2 CPC, sont supérieures à 10'000 fr., le présent appel est recevable.</w:t>
      </w:r>
    </w:p>
    <w:p>
      <w:r>
        <w:rPr>
          <w:b/>
        </w:rPr>
        <w:t>E. 2</w:t>
      </w:r>
    </w:p>
    <w:p>
      <w:r>
        <w:t>a) L'appel peut être formé pour violation du droit ou pour constatation inexacte des faits (art. 310 CPC).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 e éd., n. 2415 ; JT 2011 III 43). Lorsque les enfants sont majeurs, se pose la question de la maxime applicable au litige. En principe, celui-ci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(ATF 118 II 101, JT 1995 I 100 ; Tappy, Les procédures en droit matrimonial, in Procédure civile suisse, Les grands thèmes pour le praticien, éd. F. Bohnet, p. 325 ;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(CACI 23 septembre 2013/494). c) En l'espèce, outre les parties, le juge délégué a entendu D.Q.________, mère des intimés, ainsi qu’P.________, ami intime de l’intimée, en qualité de témoins. Il a également requis des parties qu’elles produisent des pièces dont il sera tenu compte dans la mesure de leur utilité pour l’examen de la cause.</w:t>
      </w:r>
    </w:p>
    <w:p>
      <w:r>
        <w:rPr>
          <w:b/>
        </w:rPr>
        <w:t>E. 3</w:t>
      </w:r>
    </w:p>
    <w:p>
      <w:r>
        <w:t>Dans un premier moyen, l’appelant fait valoir l’absence de relation entre les intimés et lui, ces derniers refusant, selon lui, tout contact depuis leur départ du domicile conjugal en septembre 2014. Il considère que le comportement des intimés justifierait un refus de sa part de leur verser une contribution.</w:t>
      </w:r>
    </w:p>
    <w:p>
      <w:r>
        <w:rPr>
          <w:b/>
        </w:rPr>
        <w:t>E. 3.1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Selon la jurisprudence du Tribunal fédéral, l’obligation d’entretien de l’art. 277 al. 2 CC dépend notamment des relations personnelles entre les parents et l’enfant (ATF 127 I 202 consid. 3e ; TF 5A_563/2008 du 4 décembre 2008 consid. 5.1). L’inexistence de celles-ci attribuée au seul comportement du demandeur d’aliments peut ainsi justifier un refus de la part des parents de toute contribution (ATF 120 II 177 consid. 3c et les arrêts cités). La jurisprudence exige toutefois que l’attitude de l’enfant lui soit imputable à faute, celle-ci devant être appréciée subjectivement (ATF 113 lI 374 consid. 2). Ainsi, l’enfant doit avoir violé gravement les devoirs qui lui incombent en vertu de l’art. 272 CC (ATF 111 II 411 consid. 2 ; TF 5A_137/2015 du 9 avril 2015 consid. 5.2; TF 5A_503/2012 du</w:t>
      </w:r>
    </w:p>
    <w:p>
      <w:r>
        <w:rPr>
          <w:b/>
        </w:rPr>
        <w:t>E. 3.2</w:t>
      </w:r>
    </w:p>
    <w:p>
      <w:r>
        <w:t>En l’espèce, il ressort des déclarations des intimés à l’audience d’appel que les circonstances de la séparation de leurs parents les ont beaucoup affectés. Ainsi, B.Q.________ a expliqué qu’elle n’avait fait aucune démarche pour renouer le contact avec son père depuis la séparation car elle voulait se protéger de cette situation qui l’avait profondément affectée sur le plan psychologique. Elle a précisé que son père n’avait pas non plus entrepris de démarche pour la contacter de son côté. Elle a indiqué être suivie sur le plan psychologique, ajoutant que même si elle n’envisageait pas de reprendre contact pour le moment, c’était un objectif à plus long terme. C.Q.________ a indiqué que depuis leur départ du domicile conjugal, avec sa sœur et sa mère, il n’avait reçu aucun SMS ou téléphone de son père. Il a précisé qu’il souhaitait, pour le moment, se consacrer à ses études mais il s’est dit ouvert à la discussion avec son père si celui-ci était sincère. Enfin, l’appelant a admis que depuis le 13 septembre 2014, jour du départ de son épouse du domicile conjugal avec les intimés, il n’avait pas repris contact avec ceux-ci. Compte tenu de ces circonstances, on ne saurait imputer la responsabilité de la rupture des relations entre l’appelant et les intimés à l’une ou l’autre des parties de manière exclusive. Partant, et conformément à la jurisprudence rappelée ci-dessus, c’est à raison que le premier juge a considéré que les intimés pouvaient prétendre à ce que l’appelant contribue à leur entretien durant leur formation.</w:t>
      </w:r>
    </w:p>
    <w:p>
      <w:r>
        <w:rPr>
          <w:b/>
        </w:rPr>
        <w:t>E. 4</w:t>
      </w:r>
    </w:p>
    <w:p>
      <w:r>
        <w:t>L’appelant indique ensuite avoir appris que l’intimée B.Q.________ avait renoncé à ses études, de sorte qu’il ne devait plus contribuer à son entretien au sens de l’art. 277 al. 2 CC.</w:t>
      </w:r>
    </w:p>
    <w:p>
      <w:r>
        <w:rPr>
          <w:b/>
        </w:rPr>
        <w:t>E. 4.1</w:t>
      </w:r>
    </w:p>
    <w:p>
      <w:r>
        <w:t>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Elle doit être achevée dans les délais normaux, ce qui implique que l'enfant doit s'y consacrer avec zèle ou, en tout cas, avec bonne volonté, sans toutefois devoir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arrêts cités ; TF 5A_563/2008 du 4 décembre 2008 consid. 4.1 et les arrêts cités).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consid. 2b).</w:t>
      </w:r>
    </w:p>
    <w:p>
      <w:r>
        <w:rPr>
          <w:b/>
        </w:rPr>
        <w:t>E. 4.2</w:t>
      </w:r>
    </w:p>
    <w:p>
      <w:r>
        <w:t>En l’espèce, lors de son audition par le juge délégué, l’intimée B.Q.________ a expliqué être inscrite en faculté de droit à l’Université de Fribourg. Elle a certes précisé qu’après quelques mois, son état de santé psychique ne lui avait pas permis de poursuivre ses études, mais elle a ajouté qu’elle ne souhaitait pas rester dans cet état et qu’elle était motivée à reprendre l’université. Il n’est pas contesté que l’intimée – qui n’a que 20 ans – a toujours été une excellente élève, obtenant notamment son diplôme de Maturité fédérale avec de très bons résultats et plusieurs prix. Compte tenu de ce qui précède, on ne peut conclure qu’elle aurait manqué de zèle ou d’assiduité et qu’elle perdrait son temps au sens de la jurisprudence citée plus haut, au point qu’elle ne pourrait prétendre au soutien de l’appelant. Au contraire, il semble que l’interruption de ses études ne soit due qu’à son état psychologique, en lien avec la séparation de ses parents. L’appelant ne démontre par aucun élément probant que cette interruption ne serait pas temporaire, l’intimée ayant déclaré qu’elle aimait le droit et qu’elle avait l’intention de reprendre ses études dès qu’elle le pourrait. Le moyen de l’appelant, mal fondé, doit donc être rejeté.</w:t>
      </w:r>
    </w:p>
    <w:p>
      <w:r>
        <w:rPr>
          <w:b/>
        </w:rPr>
        <w:t>E. 5</w:t>
      </w:r>
    </w:p>
    <w:p>
      <w:r>
        <w:t>L’appelant reproche ensuite au premier juge de lui avoir attribué un revenu hypothétique. Il affirme ne pas avoir les moyens de soutenir financièrement les intimés.</w:t>
      </w:r>
    </w:p>
    <w:p>
      <w:r>
        <w:rPr>
          <w:b/>
        </w:rPr>
        <w:t>E. 5.1.1</w:t>
      </w:r>
    </w:p>
    <w:p>
      <w:r>
        <w:t>La prétention d’entretien de l’enfant majeur a perdu son caractère exceptionnel. On peut dès lors exiger du parent débiteur qu’il honore ses obligations financières et qu’il exploite l’entier de sa capacité de réaliser un revenu (TF 5A_179/2015 du 29 mai 2015 consid. 5.2, FamPra.ch 2015 p. 997). Ainsi, il n’est pas exclu, selon les circonstances, d’attribuer au parent débiteur un revenu hypothétique (BJM 2004 p. 29), bien qu’une certaine prudence soit de mise à cet égard (CREC II 13 janvier 2011/12; CACI 14 octobre 2011/303).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Lorsqu’il impute au débirentier un revenu hypothétique supérieur à celui qu’il déclare effectivement percevoir,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pour autant qu'ils soient pertinents par rapport aux circonstances d'espèce (TF 5A_112/2013 du 25 mars 2013 consid. 4.1.3).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 TF 5A_25/2015 du 5 mai 2015 consid. 3.2; TF 5A_706/2007 du 14 mars 2008 consid. 4.4; TF 5P.472/2006 du 15 janvier 2007 consid. 3.2).</w:t>
      </w:r>
    </w:p>
    <w:p>
      <w:r>
        <w:rPr>
          <w:b/>
        </w:rPr>
        <w:t>E. 5.1.2</w:t>
      </w:r>
    </w:p>
    <w:p>
      <w:r>
        <w:t>La contribution envers l'enfant majeur n'est due que « dans la mesure où les circonstances permettent de l'exiger ». On ne peut en principe exiger une contribution d'entretien que dans la mesure où, après prise en compte des contributions d'entretien dues au conjoint, le débiteur dispose encore d'un revenu dépassant d'environ 20 % le minimum vital élargi (Hegnauer, le droit suisse de la filiation, p. 130, ch. 20.24 ainsi que la jurisprudence citée). En effet, l'obligation d'entretien du conjoint pendant le mariage ou après dissolution de celui-ci (art. 125 CC) l'emporte sur celle de l'art. 277 al. 2 ; ce n'est que lorsque la marge nécessaire s'ajoute au minimum vital après règlement de toutes ces obligations préférables que l'entretien de l'enfant majeur peut entrer en considération.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Le soutien financier des père et mère ne peut se justifier que dans le cas où l'enfant ne dispose pas lui-même des ressources nécessaires pour assumer ses besoins courants et les frais engendrés par sa formation (Meier/ Stettler, Droit de la filiation, op. cit., n. 1090, p. 627).</w:t>
      </w:r>
    </w:p>
    <w:p>
      <w:r>
        <w:rPr>
          <w:b/>
        </w:rPr>
        <w:t>E. 5.2</w:t>
      </w:r>
    </w:p>
    <w:p>
      <w:r>
        <w:t>En l’espèce, le premier juge a relevé que l’appelant bénéficiait d'une formation d'architecte ETS et qu’il disposait d'une importante expérience professionnelle. Il a également constaté que le bureau d’architecte que l’appelant exploitait engendrait des frais sans réaliser aucun revenu depuis plus de dix-huit mois, de sorte qu’on pouvait raisonnablement exiger de lui qu'il prenne un emploi salarié pour assumer l'entretien de ses enfants majeurs encore en formation. Le magistrat a enfin fixé le montant du revenu hypothétique à 9'800 fr. net, en se référant aux statistiques fédérales des salaires suisses, par le biais du calculateur Salarium, pour un homme de 54 ans, diplômé d'une haute école, travaillant à 100% en tant qu'architecte (spécialiste des sciences techniques, cadre supérieur et moyen), dans la région lémanique. Cette analyse des circonstances ne prête pas le flanc à la critique et doit être confirmée. En effet, l’appelant est âgé de 54 ans et en bonne santé. Il a en outre une expérience de 25 ans dans son domaine d’activité à même de pallier la méconnaissance dont il se prévaut des outils informatiques et susceptible d’intéresser un potentiel employeur. Or, selon ses propres déclarations, l’appelant maintient depuis près de deux années un bureau d’architecte qui ne génèrerait, selon lui, que des frais, ce qui l’obligerait à puiser dans le compte personnel de son fils aîné pour subvenir à ses besoins. Dans ces circonstances, force est d’admettre que l’on puisse raisonnablement exiger de l’appelant qu’il fasse le nécessaire pour retrouver une nouvelle source de revenu. Le moyen soulevé par l’appelant, s’agissant du barème de référence retenu par le premier juge, n’est également pas fondé. À la lecture de la CCT des bureaux d’architectes et ingénieurs vaudois et des commentaires relatifs à cette CCT, produits par l’appelant (pièces nos 202 et 203 du bordereau déposé le 30 octobre 2015), on constate en effet que la différence du revenu minimum entre un architecte bénéficiant d’un diplôme HES et un architecte bénéficiant d’une formation EPF n’est que de l’ordre de 600 fr. par mois. Par ailleurs, ces montants ne représentent que le salaire minimum auquel peut prétendre un jeune architecte, l’appelant – au bénéfice d’une longue expérience dans le domaine – pouvant ainsi exiger une rémunération bien plus élevée. Au surplus, l’appelant – qui disposait au 31 décembre 2013 d’une fortune dont la valeur imposable s’élevait à 2'178’312 francs (pièce E du bordereau déposé le 11 décembre 2015) – a précisé lors de son audition par le juge délégué, qu’il disposait encore de quelques tableaux d’une valeur de quelques dizaines de milliers de francs. Cela semble confirmé par le témoin D.Q.________, qui a déclaré que l’appelant détenait encore la voiture BMW qu’elle conduisait avant la séparation du couple, qu’il était en outre propriétaire d’œuvres d’art et de meubles design originaux dont la valeur s’élevait, selon elle, à plusieurs centaines de milliers de francs. Si ce dernier témoignage doit être pris avec réserve dans la mesure où le témoin est l’épouse séparée de l’appelant, on peut toutefois admettre que ce dernier dispose d’une fortune suffisante pour soutenir financièrement ses enfants majeurs durant leur formation. Compte tenu de ce qui précède, c’est à raison que le premier juge a attribué à l’appelant un revenu hypothétique de l’ordre de 9'800 fr. par mois ce qui laisse à l’intéressé les moyens de contribuer à l’entretien des intimés durant leurs études. Ce moyen, mal fondé, doit être rejeté.</w:t>
      </w:r>
    </w:p>
    <w:p>
      <w:r>
        <w:rPr>
          <w:b/>
        </w:rPr>
        <w:t>E. 6</w:t>
      </w:r>
    </w:p>
    <w:p>
      <w:r>
        <w:t>Enfin, l’appelant conteste le montant de ses charges incompressibles, en particulier le montant de son loyer, tel que retenu par le premier juge.</w:t>
      </w:r>
    </w:p>
    <w:p>
      <w:r>
        <w:rPr>
          <w:b/>
        </w:rPr>
        <w:t>E. 6.1</w:t>
      </w:r>
    </w:p>
    <w:p>
      <w:r>
        <w:t>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w:t>
      </w:r>
    </w:p>
    <w:p>
      <w:r>
        <w:rPr>
          <w:b/>
        </w:rPr>
        <w:t>E. 6.2</w:t>
      </w:r>
    </w:p>
    <w:p>
      <w:r>
        <w:t>En l’espèce, le premier juge a évalué la situation économique des parties en se fondant sur leurs déclarations et sur les pièces produites. La lecture de ces pièces permet notamment de constater que l’appelant a résilié le bail de l’appartement occupé par la famille avant la séparation, avec effet au 31 mars 2015 (pièce n° 128 du bordereau déposé le 31 juillet 2015). Il ressort en outre des différents relevés de comptes privés ouverts au nom de l’appelant qu’aucun montant n’a été versé à titre de loyer (pièces n os 54a, 54c du bordereau déposé le 27 juillet 2015). Ainsi, seul le relevé du compte professionnel « trésorerie d’entreprise » ouvert auprès de la [...], et en lien avec le bureau d’architecte, fait état de paiements réguliers en faveur de la gérance [...] SA, respectivement pour les montants de 2'160 fr., 300 fr. et 3'150 francs (pièce n° 54b du bordereau déposé le 27 juillet 2015). Dans ces circonstances, l’appelant ne démontre pas de manière vraisemblable qu’il paie effectivement un montant de 3'150 fr. à titre de loyer, ce montant constituant vraisemblablement une charge professionnelle en relation avec les locaux de son bureau d’architecture, comme cela ressort d’ailleurs du terme « bureau – appartement » employé dans les courriers que son conseil a adressé au tribunal d’arrondissement, respectivement le 23 décembre 2014 et le 13 février 2015 (pièce n° 132bis du bordereau déposé le 31 juillet 2015, pièce n° 54K du bordereau V déposé le 20 août 2015). Cela ressort également du budget établi pour le 31 juillet 2015 par l’appelant et qui mentionne divers postes qui sont en lien évident avec l’activité du bureau d’architecture – notamment les postes intitulés « licences archicad-prof-maintenance », « La mobilière – RC professionnelle, « Hepia », « photocopieuse + Plotter », « matériel de bureau », « littérature, normes, documentation » (pièce n° 129 du bordereau déposé le 31 juillet 2015) - qui ne doivent ainsi pas figurer dans les charges incompressibles de l’appelant. C’est bien plutôt le budget prévisionnel présenté par l’appelant – indiquant notamment un loyer de 300 fr. – qui doit être pris en considération, les postes y figurant correspondant aux éléments déterminants pour évaluer son minimum vital (pièce n° 130 du bordereau déposé le 31 juillet 2015). Compte tenu de ce qui précède, le premier juge était fondé à retenir un montant de 300 fr. à titre de loyer assumé par l’appelant de sorte que ses charges incompressibles doivent être arrêtées à 6'178 fr. 40 francs. Le moyen, mal fondé, doit être rejeté.</w:t>
      </w:r>
    </w:p>
    <w:p>
      <w:r>
        <w:rPr>
          <w:b/>
        </w:rPr>
        <w:t>E. 7</w:t>
      </w:r>
    </w:p>
    <w:p>
      <w:r>
        <w:t>En dernier lieu, l’appelant reproche au premier juge de n’avoir pas tenu compte du fait que les intimés avaient retiré leur conclusion relative à l’attribution des meubles personnels restés dans l’ancien domicile conjugal de sorte que le chiffre V du dispositif de l’ordonnance entreprise n’aurait pas lieu d’être. Il ressort en effet du courrier que le conseil des intimés a adressé le 13 août 2015 au premier juge, que ces derniers retiraient purement et simplement leur conclusion relative à la restitution de leurs effets personnels restés dans l’appartement conjugal (pièce n° 204 du bordereau déposé le 30 octobre 2015). Le chiffre V du dispositif n’a dès lors aucune portée juridique de sorte que l’appel est sans objet sur ce point.</w:t>
      </w:r>
    </w:p>
    <w:p>
      <w:r>
        <w:rPr>
          <w:b/>
        </w:rPr>
        <w:t>E. 8</w:t>
      </w:r>
    </w:p>
    <w:p>
      <w:r>
        <w:t>En définitive, l’appel de A.Q.________ doit être rejeté et l’ordonnance entreprise confirmée. Vu l’issue du litige, il y a lieu de mettre les frais judiciaires de deuxième instance à la charge de l’appelant qui succombe (art. 106 al. 1 CPC). Ces frais comprennent l’émolument par 600 fr. (art. 65 al. 2 TFJC [tarif des frais judiciaires civils ; RSV 270.11.5]) ainsi que le défraiement des deux témoins à raison de 157 fr. 20 chacun, soit un total de 914 fr. 40. L’appelant doit en outre verser aux intimés, solidairement entre eux, des dépens de deuxième instance arrêtés globalement à 3'000 fr. (art.</w:t>
      </w:r>
    </w:p>
    <w:p>
      <w:r>
        <w:rPr>
          <w:b/>
        </w:rPr>
        <w:t>E. 9</w:t>
      </w:r>
    </w:p>
    <w:p>
      <w:r>
        <w:t>Le dispositif notifié aux parties le 23 décembre 2015 indique à son chiffre III, un montant de 800 fr. à titre de frais judiciaires de deuxième instance mis à la charge de l’appelant. Ce montant relevant d’une erreur de calcul, la Cour de céans peut rectifier ce point d’office et renoncer à requérir les déterminations des parties (art. 334 al. 2 CPC). Par ces motifs, le Juge délégué de la Cour d’appel civile du Tribunal cantonal, prononce : I. L’appel est rejeté. II. L’ordonnance est confirmée. III. Les frais judiciaires de deuxième instance, arrêtés à 914 fr. 40 (neuf cent quatorze francs et quarante centimes), sont mis à la charge de l’appelant A.Q.________. IV. L’indemnité d’office de Me Juliette Perrin, conseil des intimés, est arrêtée à 2'162 fr. (deux mille cent soixante-deux francs), TVA et débours compris. V. L’appelant A.Q.________ doit verser aux intimés B.Q.________ et C.Q.________, solidairement entre eux, la somme de 3'000 fr. (trois mille francs), à titre de dépens de deuxième instance. VI. Les bénéficiaires de l’assistance judiciaire sont, dans la mesure de l’art. 123 CPC, tenus au remboursement de l’indemnité au conseil d’office mise à la charge de l’Etat. VII. L’arrêt motivé est exécutoire. Le Juge délégué : La greffière : Du 23 décembre 2015 Le dispositif de l'arrêt qui précède est communiqué par écrit aux intéressés. La greffière : Du L'arrêt qui précède, dont la rédaction a été approuvée à huis clos, est notifié en expédition complète, par l'envoi de photocopies à : ‑ Me Alexandre Reil (pour A.Q.________), ‑ Me Juliette Perrin (pour B.Q.________ et C.Q.________).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